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4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40" w:after="283"/>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color w:val="000000"/>
          <w:sz w:val="20"/>
        </w:rPr>
        <w:t xml:space="preserve">TRANSITION REPORT 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001-39312</w:t>
      </w:r>
    </w:p>
    <w:p>
      <w:pPr>
        <w:pStyle w:val="TextBody"/>
        <w:bidi w:val="0"/>
        <w:spacing w:before="40" w:after="283"/>
        <w:jc w:val="center"/>
        <w:rPr/>
      </w:pPr>
      <w:r>
        <w:rPr/>
      </w:r>
    </w:p>
    <w:p>
      <w:pPr>
        <w:pStyle w:val="TextBody"/>
        <w:bidi w:val="0"/>
        <w:spacing w:lineRule="auto" w:line="288" w:before="40" w:after="283"/>
        <w:jc w:val="center"/>
        <w:rPr/>
      </w:pPr>
      <w:r>
        <w:rPr>
          <w:rFonts w:ascii="Times New Roman;serif" w:hAnsi="Times New Roman;serif"/>
          <w:b/>
          <w:color w:val="000000"/>
          <w:sz w:val="36"/>
        </w:rPr>
        <w:t>Playboy, Inc</w:t>
      </w:r>
      <w:r>
        <w:rPr>
          <w:rFonts w:ascii="Times New Roman;serif" w:hAnsi="Times New Roman;serif"/>
          <w:b/>
          <w:color w:val="000000"/>
          <w:sz w:val="24"/>
        </w:rPr>
        <w:t>.</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9539" w:type="dxa"/>
        <w:jc w:val="center"/>
        <w:tblInd w:w="0" w:type="dxa"/>
        <w:tblLayout w:type="fixed"/>
        <w:tblCellMar>
          <w:top w:w="28" w:type="dxa"/>
          <w:left w:w="28" w:type="dxa"/>
          <w:bottom w:w="28" w:type="dxa"/>
          <w:right w:w="28" w:type="dxa"/>
        </w:tblCellMar>
      </w:tblPr>
      <w:tblGrid>
        <w:gridCol w:w="1549"/>
        <w:gridCol w:w="1364"/>
        <w:gridCol w:w="1376"/>
        <w:gridCol w:w="859"/>
        <w:gridCol w:w="859"/>
        <w:gridCol w:w="862"/>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580" w:type="dxa"/>
            <w:gridSpan w:val="3"/>
            <w:tcBorders/>
            <w:tcMar>
              <w:top w:w="0" w:type="dxa"/>
              <w:left w:w="0" w:type="dxa"/>
              <w:bottom w:w="0" w:type="dxa"/>
              <w:right w:w="0" w:type="dxa"/>
            </w:tcMar>
            <w:vAlign w:val="center"/>
          </w:tcPr>
          <w:p>
            <w:pPr>
              <w:pStyle w:val="TableContents"/>
              <w:bidi w:val="0"/>
              <w:spacing w:before="0" w:after="283"/>
              <w:ind w:left="0" w:right="0" w:firstLine="842"/>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37-1958714</w:t>
            </w:r>
          </w:p>
        </w:tc>
      </w:tr>
      <w:tr>
        <w:trPr/>
        <w:tc>
          <w:tcPr>
            <w:tcW w:w="42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10960 Wilshire Blvd., Suite 2200</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Los Angeles, California 90024</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r>
      <w:tr>
        <w:trPr/>
        <w:tc>
          <w:tcPr>
            <w:tcW w:w="9539"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(310) 424-1800</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617" w:type="dxa"/>
        <w:jc w:val="center"/>
        <w:tblInd w:w="0" w:type="dxa"/>
        <w:tblLayout w:type="fixed"/>
        <w:tblCellMar>
          <w:top w:w="28" w:type="dxa"/>
          <w:left w:w="28" w:type="dxa"/>
          <w:bottom w:w="28" w:type="dxa"/>
          <w:right w:w="28" w:type="dxa"/>
        </w:tblCellMar>
      </w:tblPr>
      <w:tblGrid>
        <w:gridCol w:w="1187"/>
        <w:gridCol w:w="1045"/>
        <w:gridCol w:w="1052"/>
        <w:gridCol w:w="617"/>
        <w:gridCol w:w="617"/>
        <w:gridCol w:w="620"/>
        <w:gridCol w:w="1019"/>
        <w:gridCol w:w="1019"/>
        <w:gridCol w:w="1441"/>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854"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90"/>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2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1854"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90"/>
              <w:jc w:val="center"/>
              <w:rPr>
                <w:rFonts w:ascii="Times New Roman;serif" w:hAnsi="Times New Roman;serif"/>
                <w:b w:val="false"/>
                <w:color w:val="000000"/>
                <w:sz w:val="18"/>
              </w:rPr>
            </w:pPr>
            <w:r>
              <w:rPr>
                <w:rFonts w:ascii="Times New Roman;serif" w:hAnsi="Times New Roman;serif"/>
                <w:b w:val="false"/>
                <w:color w:val="000000"/>
                <w:sz w:val="18"/>
              </w:rPr>
              <w:t>PLBY</w:t>
            </w:r>
          </w:p>
        </w:tc>
        <w:tc>
          <w:tcPr>
            <w:tcW w:w="34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12" w:type="dxa"/>
        <w:jc w:val="center"/>
        <w:tblInd w:w="0" w:type="dxa"/>
        <w:tblLayout w:type="fixed"/>
        <w:tblCellMar>
          <w:top w:w="28" w:type="dxa"/>
          <w:left w:w="28" w:type="dxa"/>
          <w:bottom w:w="28" w:type="dxa"/>
          <w:right w:w="28" w:type="dxa"/>
        </w:tblCellMar>
      </w:tblPr>
      <w:tblGrid>
        <w:gridCol w:w="617"/>
        <w:gridCol w:w="543"/>
        <w:gridCol w:w="545"/>
        <w:gridCol w:w="109"/>
        <w:gridCol w:w="109"/>
        <w:gridCol w:w="109"/>
        <w:gridCol w:w="692"/>
        <w:gridCol w:w="692"/>
        <w:gridCol w:w="695"/>
        <w:gridCol w:w="117"/>
        <w:gridCol w:w="117"/>
        <w:gridCol w:w="167"/>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4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00000"/>
                <w:sz w:val="18"/>
              </w:rPr>
            </w:pPr>
            <w:r>
              <w:rPr>
                <w:rFonts w:ascii="Wingdings 2;sans-serif" w:hAnsi="Wingdings 2;sans-serif"/>
                <w:b w:val="false"/>
                <w:color w:val="000000"/>
                <w:sz w:val="18"/>
              </w:rPr>
              <w:t>£</w:t>
            </w:r>
          </w:p>
        </w:tc>
        <w:tc>
          <w:tcPr>
            <w:tcW w:w="20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401" w:type="dxa"/>
            <w:gridSpan w:val="3"/>
            <w:tcBorders/>
            <w:tcMar>
              <w:top w:w="0" w:type="dxa"/>
              <w:left w:w="0" w:type="dxa"/>
              <w:bottom w:w="0" w:type="dxa"/>
              <w:right w:w="0" w:type="dxa"/>
            </w:tcMar>
            <w:vAlign w:val="center"/>
          </w:tcPr>
          <w:p>
            <w:pPr>
              <w:pStyle w:val="TableContents"/>
              <w:bidi w:val="0"/>
              <w:spacing w:lineRule="auto" w:line="276" w:before="0" w:after="0"/>
              <w:ind w:left="0" w:right="0" w:firstLine="40"/>
              <w:jc w:val="left"/>
              <w:rPr>
                <w:color w:val="000000"/>
              </w:rPr>
            </w:pPr>
            <w:r>
              <w:rPr>
                <w:color w:val="000000"/>
              </w:rPr>
              <w:t>☒</w:t>
            </w:r>
          </w:p>
        </w:tc>
      </w:tr>
      <w:tr>
        <w:trPr/>
        <w:tc>
          <w:tcPr>
            <w:tcW w:w="1705"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4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00000"/>
                <w:sz w:val="18"/>
              </w:rPr>
            </w:pPr>
            <w:r>
              <w:rPr>
                <w:rFonts w:ascii="Wingdings 2;sans-serif" w:hAnsi="Wingdings 2;sans-serif"/>
                <w:b w:val="false"/>
                <w:color w:val="000000"/>
                <w:sz w:val="18"/>
              </w:rPr>
              <w:t>£</w:t>
            </w:r>
          </w:p>
        </w:tc>
        <w:tc>
          <w:tcPr>
            <w:tcW w:w="20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401" w:type="dxa"/>
            <w:gridSpan w:val="3"/>
            <w:tcBorders/>
            <w:tcMar>
              <w:top w:w="0" w:type="dxa"/>
              <w:left w:w="0" w:type="dxa"/>
              <w:bottom w:w="0" w:type="dxa"/>
              <w:right w:w="0" w:type="dxa"/>
            </w:tcMar>
            <w:vAlign w:val="center"/>
          </w:tcPr>
          <w:p>
            <w:pPr>
              <w:pStyle w:val="TableContents"/>
              <w:bidi w:val="0"/>
              <w:spacing w:lineRule="auto" w:line="276" w:before="0" w:after="0"/>
              <w:ind w:left="0" w:right="0" w:firstLine="40"/>
              <w:jc w:val="left"/>
              <w:rPr>
                <w:color w:val="000000"/>
              </w:rPr>
            </w:pPr>
            <w:r>
              <w:rPr>
                <w:color w:val="000000"/>
              </w:rPr>
              <w:t>☒</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4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00000"/>
                <w:sz w:val="18"/>
              </w:rPr>
            </w:pPr>
            <w:r>
              <w:rPr>
                <w:rFonts w:ascii="Wingdings 2;sans-serif" w:hAnsi="Wingdings 2;sans-serif"/>
                <w:b w:val="false"/>
                <w:color w:val="000000"/>
                <w:sz w:val="18"/>
              </w:rPr>
              <w:t>£</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left"/>
        <w:rPr/>
      </w:pPr>
      <w:r>
        <w:rPr>
          <w:rFonts w:ascii="Times New Roman;serif" w:hAnsi="Times New Roman;serif"/>
          <w:b w:val="false"/>
          <w:color w:val="000000"/>
          <w:sz w:val="18"/>
        </w:rPr>
        <w:t>The number of shares of Registrant’s Common Stock outstanding as of August 6, 2026 was 119,807,688.</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8596" w:type="dxa"/>
        <w:jc w:val="left"/>
        <w:tblInd w:w="0" w:type="dxa"/>
        <w:tblLayout w:type="fixed"/>
        <w:tblCellMar>
          <w:top w:w="28" w:type="dxa"/>
          <w:left w:w="28" w:type="dxa"/>
          <w:bottom w:w="28" w:type="dxa"/>
          <w:right w:w="28" w:type="dxa"/>
        </w:tblCellMar>
      </w:tblPr>
      <w:tblGrid>
        <w:gridCol w:w="2902"/>
        <w:gridCol w:w="2555"/>
        <w:gridCol w:w="2568"/>
        <w:gridCol w:w="167"/>
        <w:gridCol w:w="167"/>
        <w:gridCol w:w="237"/>
      </w:tblGrid>
      <w:tr>
        <w:trPr/>
        <w:tc>
          <w:tcPr>
            <w:tcW w:w="2902"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pPr>
            <w:hyperlink w:anchor="ic2a00e3edcf249fcacf86dc85564e999_10">
              <w:r>
                <w:rPr>
                  <w:rStyle w:val="InternetLink"/>
                  <w:rFonts w:ascii="Times New Roman;serif" w:hAnsi="Times New Roman;serif"/>
                  <w:b w:val="false"/>
                  <w:color w:val="0E32E1"/>
                  <w:sz w:val="20"/>
                  <w:u w:val="singl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3">
              <w:r>
                <w:rPr>
                  <w:rStyle w:val="InternetLink"/>
                  <w:rFonts w:ascii="Times New Roman;serif" w:hAnsi="Times New Roman;serif"/>
                  <w:b w:val="false"/>
                  <w:color w:val="000080"/>
                  <w:sz w:val="20"/>
                  <w:u w:val="single"/>
                </w:rPr>
                <w:t>Item 1. Unaudited Condensed Consolidated Financial Statement</w:t>
              </w:r>
            </w:hyperlink>
            <w:r>
              <w:rPr>
                <w:rFonts w:ascii="Times New Roman;serif" w:hAnsi="Times New Roman;serif"/>
                <w:b w:val="false"/>
                <w:color w:val="0E32E1"/>
                <w:sz w:val="20"/>
                <w:u w:val="single"/>
              </w:rPr>
              <w:t>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6">
              <w:r>
                <w:rPr>
                  <w:rStyle w:val="InternetLink"/>
                  <w:rFonts w:ascii="Times New Roman;serif" w:hAnsi="Times New Roman;serif"/>
                  <w:b w:val="false"/>
                  <w:color w:val="0E32E1"/>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6">
              <w:r>
                <w:rPr>
                  <w:rStyle w:val="InternetLink"/>
                  <w:rFonts w:ascii="Times New Roman;serif" w:hAnsi="Times New Roman;serif"/>
                  <w:b w:val="false"/>
                  <w:color w:val="0E32E1"/>
                  <w:sz w:val="20"/>
                  <w:u w:val="single"/>
                </w:rPr>
                <w:t>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9">
              <w:r>
                <w:rPr>
                  <w:rStyle w:val="InternetLink"/>
                  <w:rFonts w:ascii="Times New Roman;serif" w:hAnsi="Times New Roman;serif"/>
                  <w:b w:val="false"/>
                  <w:color w:val="000080"/>
                  <w:sz w:val="20"/>
                  <w:u w:val="single"/>
                </w:rPr>
                <w:t xml:space="preserve">Condensed Consolidated Statements of Comprehensive </w:t>
              </w:r>
            </w:hyperlink>
            <w:hyperlink w:anchor="ic2a00e3edcf249fcacf86dc85564e999_19">
              <w:r>
                <w:rPr>
                  <w:rStyle w:val="InternetLink"/>
                  <w:rFonts w:ascii="Times New Roman;serif" w:hAnsi="Times New Roman;serif"/>
                  <w:b w:val="false"/>
                  <w:color w:val="000080"/>
                  <w:sz w:val="20"/>
                  <w:u w:val="single"/>
                </w:rPr>
                <w:t>Incom</w:t>
              </w:r>
            </w:hyperlink>
            <w:hyperlink w:anchor="ic2a00e3edcf249fcacf86dc85564e999_19">
              <w:r>
                <w:rPr>
                  <w:rStyle w:val="InternetLink"/>
                  <w:rFonts w:ascii="Times New Roman;serif" w:hAnsi="Times New Roman;serif"/>
                  <w:b w:val="false"/>
                  <w:color w:val="000080"/>
                  <w:sz w:val="20"/>
                  <w:u w:val="single"/>
                </w:rPr>
                <w:t>e (</w:t>
              </w:r>
            </w:hyperlink>
            <w:hyperlink w:anchor="ic2a00e3edcf249fcacf86dc85564e999_19">
              <w:r>
                <w:rPr>
                  <w:rStyle w:val="InternetLink"/>
                  <w:rFonts w:ascii="Times New Roman;serif" w:hAnsi="Times New Roman;serif"/>
                  <w:b w:val="false"/>
                  <w:color w:val="000080"/>
                  <w:sz w:val="20"/>
                  <w:u w:val="single"/>
                </w:rPr>
                <w:t>Loss</w:t>
              </w:r>
            </w:hyperlink>
            <w:r>
              <w:rPr>
                <w:rFonts w:ascii="Times New Roman;serif" w:hAnsi="Times New Roman;serif"/>
                <w:b w:val="false"/>
                <w:color w:val="0E32E1"/>
                <w:sz w:val="20"/>
                <w:u w:val="single"/>
              </w:rPr>
              <w: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9">
              <w:r>
                <w:rPr>
                  <w:rStyle w:val="InternetLink"/>
                  <w:rFonts w:ascii="Times New Roman;serif" w:hAnsi="Times New Roman;serif"/>
                  <w:b w:val="false"/>
                  <w:color w:val="0E32E1"/>
                  <w:sz w:val="20"/>
                  <w:u w:val="single"/>
                </w:rPr>
                <w:t>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22">
              <w:r>
                <w:rPr>
                  <w:rStyle w:val="InternetLink"/>
                  <w:rFonts w:ascii="Times New Roman;serif" w:hAnsi="Times New Roman;serif"/>
                  <w:b w:val="false"/>
                  <w:color w:val="0E32E1"/>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22">
              <w:r>
                <w:rPr>
                  <w:rStyle w:val="InternetLink"/>
                  <w:rFonts w:ascii="Times New Roman;serif" w:hAnsi="Times New Roman;serif"/>
                  <w:b w:val="false"/>
                  <w:color w:val="0E32E1"/>
                  <w:sz w:val="20"/>
                  <w:u w:val="single"/>
                </w:rPr>
                <w:t>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28">
              <w:r>
                <w:rPr>
                  <w:rStyle w:val="InternetLink"/>
                  <w:rFonts w:ascii="Times New Roman;serif" w:hAnsi="Times New Roman;serif"/>
                  <w:b w:val="false"/>
                  <w:color w:val="000080"/>
                  <w:sz w:val="20"/>
                  <w:u w:val="single"/>
                </w:rPr>
                <w:t xml:space="preserve">Condensed Consolidated Statements of </w:t>
              </w:r>
            </w:hyperlink>
            <w:hyperlink w:anchor="ic2a00e3edcf249fcacf86dc85564e999_28">
              <w:r>
                <w:rPr>
                  <w:rStyle w:val="InternetLink"/>
                  <w:rFonts w:ascii="Times New Roman;serif" w:hAnsi="Times New Roman;serif"/>
                  <w:b w:val="false"/>
                  <w:color w:val="000080"/>
                  <w:sz w:val="20"/>
                  <w:u w:val="single"/>
                </w:rPr>
                <w:t>Equity</w:t>
              </w:r>
            </w:hyperlink>
            <w:hyperlink w:anchor="ic2a00e3edcf249fcacf86dc85564e999_28">
              <w:r>
                <w:rPr>
                  <w:rStyle w:val="InternetLink"/>
                  <w:rFonts w:ascii="Times New Roman;serif" w:hAnsi="Times New Roman;serif"/>
                  <w:b w:val="false"/>
                  <w:color w:val="000080"/>
                  <w:sz w:val="20"/>
                  <w:u w:val="single"/>
                </w:rPr>
                <w:t xml:space="preserve"> (D</w:t>
              </w:r>
            </w:hyperlink>
            <w:hyperlink w:anchor="ic2a00e3edcf249fcacf86dc85564e999_28">
              <w:r>
                <w:rPr>
                  <w:rStyle w:val="InternetLink"/>
                  <w:rFonts w:ascii="Times New Roman;serif" w:hAnsi="Times New Roman;serif"/>
                  <w:b w:val="false"/>
                  <w:color w:val="000080"/>
                  <w:sz w:val="20"/>
                  <w:u w:val="single"/>
                </w:rPr>
                <w:t>e</w:t>
              </w:r>
            </w:hyperlink>
            <w:hyperlink w:anchor="ic2a00e3edcf249fcacf86dc85564e999_28">
              <w:r>
                <w:rPr>
                  <w:rStyle w:val="InternetLink"/>
                  <w:rFonts w:ascii="Times New Roman;serif" w:hAnsi="Times New Roman;serif"/>
                  <w:b w:val="false"/>
                  <w:color w:val="000080"/>
                  <w:sz w:val="20"/>
                  <w:u w:val="single"/>
                </w:rPr>
                <w:t>ficit)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28">
              <w:r>
                <w:rPr>
                  <w:rStyle w:val="InternetLink"/>
                  <w:rFonts w:ascii="Times New Roman;serif" w:hAnsi="Times New Roman;serif"/>
                  <w:b w:val="false"/>
                  <w:color w:val="0E32E1"/>
                  <w:sz w:val="20"/>
                  <w:u w:val="single"/>
                </w:rPr>
                <w:t>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31">
              <w:r>
                <w:rPr>
                  <w:rStyle w:val="InternetLink"/>
                  <w:rFonts w:ascii="Times New Roman;serif" w:hAnsi="Times New Roman;serif"/>
                  <w:b w:val="false"/>
                  <w:color w:val="0E32E1"/>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31">
              <w:r>
                <w:rPr>
                  <w:rStyle w:val="InternetLink"/>
                  <w:rFonts w:ascii="Times New Roman;serif" w:hAnsi="Times New Roman;serif"/>
                  <w:b w:val="false"/>
                  <w:color w:val="0E32E1"/>
                  <w:sz w:val="20"/>
                  <w:u w:val="single"/>
                </w:rPr>
                <w:t>6</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34">
              <w:r>
                <w:rPr>
                  <w:rStyle w:val="InternetLink"/>
                  <w:rFonts w:ascii="Times New Roman;serif" w:hAnsi="Times New Roman;serif"/>
                  <w:b w:val="false"/>
                  <w:color w:val="0E32E1"/>
                  <w:sz w:val="20"/>
                  <w:u w:val="single"/>
                </w:rPr>
                <w:t>Notes to the Unaudited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34">
              <w:r>
                <w:rPr>
                  <w:rStyle w:val="InternetLink"/>
                  <w:rFonts w:ascii="Times New Roman;serif" w:hAnsi="Times New Roman;serif"/>
                  <w:b w:val="false"/>
                  <w:color w:val="0E32E1"/>
                  <w:sz w:val="20"/>
                  <w:u w:val="single"/>
                </w:rPr>
                <w:t>8</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94">
              <w:r>
                <w:rPr>
                  <w:rStyle w:val="InternetLink"/>
                  <w:rFonts w:ascii="Times New Roman;serif" w:hAnsi="Times New Roman;serif"/>
                  <w:b w:val="false"/>
                  <w:color w:val="0E32E1"/>
                  <w:sz w:val="20"/>
                  <w:u w:val="single"/>
                </w:rPr>
                <w:t xml:space="preserve">Item 2. Management’s Discussion and Analysis of Financial Condition and Results of Operations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94">
              <w:r>
                <w:rPr>
                  <w:rStyle w:val="InternetLink"/>
                  <w:rFonts w:ascii="Times New Roman;serif" w:hAnsi="Times New Roman;serif"/>
                  <w:b w:val="false"/>
                  <w:color w:val="0E32E1"/>
                  <w:sz w:val="20"/>
                  <w:u w:val="single"/>
                </w:rPr>
                <w:t>31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33">
              <w:r>
                <w:rPr>
                  <w:rStyle w:val="InternetLink"/>
                  <w:rFonts w:ascii="Times New Roman;serif" w:hAnsi="Times New Roman;serif"/>
                  <w:b w:val="false"/>
                  <w:color w:val="0E32E1"/>
                  <w:sz w:val="20"/>
                  <w:u w:val="single"/>
                </w:rPr>
                <w:t xml:space="preserve">Item 3. Quantitative and Qualitative Disclosures About Market Risk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33">
              <w:r>
                <w:rPr>
                  <w:rStyle w:val="InternetLink"/>
                  <w:rFonts w:ascii="Times New Roman;serif" w:hAnsi="Times New Roman;serif"/>
                  <w:b w:val="false"/>
                  <w:color w:val="0E32E1"/>
                  <w:sz w:val="20"/>
                  <w:u w:val="single"/>
                </w:rPr>
                <w:t>52</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36">
              <w:r>
                <w:rPr>
                  <w:rStyle w:val="InternetLink"/>
                  <w:rFonts w:ascii="Times New Roman;serif" w:hAnsi="Times New Roman;serif"/>
                  <w:b w:val="false"/>
                  <w:color w:val="0E32E1"/>
                  <w:sz w:val="20"/>
                  <w:u w:val="single"/>
                </w:rPr>
                <w:t xml:space="preserve">Item 4. Controls and Procedures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36">
              <w:r>
                <w:rPr>
                  <w:rStyle w:val="InternetLink"/>
                  <w:rFonts w:ascii="Times New Roman;serif" w:hAnsi="Times New Roman;serif"/>
                  <w:b w:val="false"/>
                  <w:color w:val="0E32E1"/>
                  <w:sz w:val="20"/>
                  <w:u w:val="single"/>
                </w:rPr>
                <w:t>53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39">
              <w:r>
                <w:rPr>
                  <w:rStyle w:val="InternetLink"/>
                  <w:rFonts w:ascii="Times New Roman;serif" w:hAnsi="Times New Roman;serif"/>
                  <w:b w:val="false"/>
                  <w:color w:val="0E32E1"/>
                  <w:sz w:val="20"/>
                  <w:u w:val="single"/>
                </w:rPr>
                <w:t xml:space="preserve">Part II - Other Information </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42">
              <w:r>
                <w:rPr>
                  <w:rStyle w:val="InternetLink"/>
                  <w:rFonts w:ascii="Times New Roman;serif" w:hAnsi="Times New Roman;serif"/>
                  <w:b w:val="false"/>
                  <w:color w:val="0E32E1"/>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42">
              <w:r>
                <w:rPr>
                  <w:rStyle w:val="InternetLink"/>
                  <w:rFonts w:ascii="Times New Roman;serif" w:hAnsi="Times New Roman;serif"/>
                  <w:b w:val="false"/>
                  <w:color w:val="0E32E1"/>
                  <w:sz w:val="20"/>
                  <w:u w:val="single"/>
                </w:rPr>
                <w:t>56</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45">
              <w:r>
                <w:rPr>
                  <w:rStyle w:val="InternetLink"/>
                  <w:rFonts w:ascii="Times New Roman;serif" w:hAnsi="Times New Roman;serif"/>
                  <w:b w:val="false"/>
                  <w:color w:val="0E32E1"/>
                  <w:sz w:val="20"/>
                  <w:u w:val="single"/>
                </w:rPr>
                <w:t xml:space="preserve">Item 1A. Risk Factors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45">
              <w:r>
                <w:rPr>
                  <w:rStyle w:val="InternetLink"/>
                  <w:rFonts w:ascii="Times New Roman;serif" w:hAnsi="Times New Roman;serif"/>
                  <w:b w:val="false"/>
                  <w:color w:val="0E32E1"/>
                  <w:sz w:val="20"/>
                  <w:u w:val="single"/>
                </w:rPr>
                <w:t>56</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48">
              <w:r>
                <w:rPr>
                  <w:rStyle w:val="InternetLink"/>
                  <w:rFonts w:ascii="Times New Roman;serif" w:hAnsi="Times New Roman;serif"/>
                  <w:b w:val="false"/>
                  <w:color w:val="0E32E1"/>
                  <w:sz w:val="20"/>
                  <w:u w:val="singl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48">
              <w:r>
                <w:rPr>
                  <w:rStyle w:val="InternetLink"/>
                  <w:rFonts w:ascii="Times New Roman;serif" w:hAnsi="Times New Roman;serif"/>
                  <w:b w:val="false"/>
                  <w:color w:val="0E32E1"/>
                  <w:sz w:val="20"/>
                  <w:u w:val="single"/>
                </w:rPr>
                <w:t>56</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51">
              <w:r>
                <w:rPr>
                  <w:rStyle w:val="InternetLink"/>
                  <w:rFonts w:ascii="Times New Roman;serif" w:hAnsi="Times New Roman;serif"/>
                  <w:b w:val="false"/>
                  <w:color w:val="0E32E1"/>
                  <w:sz w:val="20"/>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51">
              <w:r>
                <w:rPr>
                  <w:rStyle w:val="InternetLink"/>
                  <w:rFonts w:ascii="Times New Roman;serif" w:hAnsi="Times New Roman;serif"/>
                  <w:b w:val="false"/>
                  <w:color w:val="0E32E1"/>
                  <w:sz w:val="20"/>
                  <w:u w:val="single"/>
                </w:rPr>
                <w:t>57</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54">
              <w:r>
                <w:rPr>
                  <w:rStyle w:val="InternetLink"/>
                  <w:rFonts w:ascii="Times New Roman;serif" w:hAnsi="Times New Roman;serif"/>
                  <w:b w:val="false"/>
                  <w:color w:val="0E32E1"/>
                  <w:sz w:val="20"/>
                  <w:u w:val="single"/>
                </w:rPr>
                <w:t xml:space="preserve">Item 4. Mine Safety Disclosures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54">
              <w:r>
                <w:rPr>
                  <w:rStyle w:val="InternetLink"/>
                  <w:rFonts w:ascii="Times New Roman;serif" w:hAnsi="Times New Roman;serif"/>
                  <w:b w:val="false"/>
                  <w:color w:val="0E32E1"/>
                  <w:sz w:val="20"/>
                  <w:u w:val="single"/>
                </w:rPr>
                <w:t>57</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57">
              <w:r>
                <w:rPr>
                  <w:rStyle w:val="InternetLink"/>
                  <w:rFonts w:ascii="Times New Roman;serif" w:hAnsi="Times New Roman;serif"/>
                  <w:b w:val="false"/>
                  <w:color w:val="0E32E1"/>
                  <w:sz w:val="20"/>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57">
              <w:r>
                <w:rPr>
                  <w:rStyle w:val="InternetLink"/>
                  <w:rFonts w:ascii="Times New Roman;serif" w:hAnsi="Times New Roman;serif"/>
                  <w:b w:val="false"/>
                  <w:color w:val="0E32E1"/>
                  <w:sz w:val="20"/>
                  <w:u w:val="single"/>
                </w:rPr>
                <w:t>57</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60">
              <w:r>
                <w:rPr>
                  <w:rStyle w:val="InternetLink"/>
                  <w:rFonts w:ascii="Times New Roman;serif" w:hAnsi="Times New Roman;serif"/>
                  <w:b w:val="false"/>
                  <w:color w:val="0E32E1"/>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60">
              <w:r>
                <w:rPr>
                  <w:rStyle w:val="InternetLink"/>
                  <w:rFonts w:ascii="Times New Roman;serif" w:hAnsi="Times New Roman;serif"/>
                  <w:b w:val="false"/>
                  <w:color w:val="0E32E1"/>
                  <w:sz w:val="20"/>
                  <w:u w:val="single"/>
                </w:rPr>
                <w:t>58</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a00e3edcf249fcacf86dc85564e999_163">
              <w:r>
                <w:rPr>
                  <w:rStyle w:val="InternetLink"/>
                  <w:rFonts w:ascii="Times New Roman;serif" w:hAnsi="Times New Roman;serif"/>
                  <w:b w:val="false"/>
                  <w:color w:val="0E32E1"/>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a00e3edcf249fcacf86dc85564e999_163">
              <w:r>
                <w:rPr>
                  <w:rStyle w:val="InternetLink"/>
                  <w:rFonts w:ascii="Times New Roman;serif" w:hAnsi="Times New Roman;serif"/>
                  <w:b w:val="false"/>
                  <w:color w:val="0E32E1"/>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288" w:before="0" w:after="0"/>
        <w:jc w:val="left"/>
        <w:rPr/>
      </w:pPr>
      <w:hyperlink w:anchor="ic2a00e3edcf249fcacf86dc85564e999_7">
        <w:r>
          <w:rPr>
            <w:rStyle w:val="InternetLink"/>
            <w:rFonts w:ascii="Times New Roman;serif" w:hAnsi="Times New Roman;serif"/>
            <w:b w:val="false"/>
            <w:color w:val="000080"/>
            <w:sz w:val="20"/>
            <w:u w:val="single"/>
          </w:rPr>
          <w:t>Table of Conten</w:t>
        </w:r>
      </w:hyperlink>
      <w:hyperlink w:anchor="ic2a00e3edcf249fcacf86dc85564e999_7">
        <w:r>
          <w:rPr>
            <w:rStyle w:val="InternetLink"/>
            <w:rFonts w:ascii="Times New Roman;serif" w:hAnsi="Times New Roman;serif"/>
            <w:b w:val="false"/>
            <w:color w:val="000080"/>
            <w:sz w:val="20"/>
            <w:u w:val="single"/>
          </w:rPr>
          <w:t>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Playboy,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amounts)</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497"/>
        <w:gridCol w:w="1204"/>
        <w:gridCol w:w="1179"/>
        <w:gridCol w:w="109"/>
        <w:gridCol w:w="109"/>
        <w:gridCol w:w="109"/>
        <w:gridCol w:w="268"/>
        <w:gridCol w:w="918"/>
        <w:gridCol w:w="109"/>
        <w:gridCol w:w="109"/>
        <w:gridCol w:w="109"/>
        <w:gridCol w:w="109"/>
        <w:gridCol w:w="244"/>
        <w:gridCol w:w="837"/>
        <w:gridCol w:w="109"/>
        <w:gridCol w:w="109"/>
        <w:gridCol w:w="109"/>
        <w:gridCol w:w="109"/>
        <w:gridCol w:w="268"/>
        <w:gridCol w:w="918"/>
        <w:gridCol w:w="109"/>
        <w:gridCol w:w="109"/>
        <w:gridCol w:w="109"/>
        <w:gridCol w:w="109"/>
        <w:gridCol w:w="244"/>
        <w:gridCol w:w="837"/>
        <w:gridCol w:w="156"/>
      </w:tblGrid>
      <w:tr>
        <w:trPr/>
        <w:tc>
          <w:tcPr>
            <w:tcW w:w="14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(69,166)</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114,695,987 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94,397,910 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114,441,426 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93,549,044 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c2a00e3edcf249fcacf86dc85564e999_7">
        <w:r>
          <w:rPr>
            <w:rStyle w:val="InternetLink"/>
            <w:rFonts w:ascii="Times New Roman;serif" w:hAnsi="Times New Roman;serif"/>
            <w:b w:val="false"/>
            <w:color w:val="000080"/>
            <w:sz w:val="20"/>
            <w:u w:val="single"/>
          </w:rPr>
          <w:t>Table of Conten</w:t>
        </w:r>
      </w:hyperlink>
      <w:hyperlink w:anchor="ic2a00e3edcf249fcacf86dc85564e999_7">
        <w:r>
          <w:rPr>
            <w:rStyle w:val="InternetLink"/>
            <w:rFonts w:ascii="Times New Roman;serif" w:hAnsi="Times New Roman;serif"/>
            <w:b w:val="false"/>
            <w:color w:val="000080"/>
            <w:sz w:val="20"/>
            <w:u w:val="single"/>
          </w:rPr>
          <w:t>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Playboy,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before="0" w:after="0"/>
        <w:jc w:val="center"/>
        <w:rPr/>
      </w:pPr>
      <w:r>
        <w:rPr/>
      </w:r>
    </w:p>
    <w:tbl>
      <w:tblPr>
        <w:tblW w:w="8310" w:type="dxa"/>
        <w:jc w:val="center"/>
        <w:tblInd w:w="0" w:type="dxa"/>
        <w:tblLayout w:type="fixed"/>
        <w:tblCellMar>
          <w:top w:w="28" w:type="dxa"/>
          <w:left w:w="28" w:type="dxa"/>
          <w:bottom w:w="28" w:type="dxa"/>
          <w:right w:w="28" w:type="dxa"/>
        </w:tblCellMar>
      </w:tblPr>
      <w:tblGrid>
        <w:gridCol w:w="1217"/>
        <w:gridCol w:w="1068"/>
        <w:gridCol w:w="1075"/>
        <w:gridCol w:w="211"/>
        <w:gridCol w:w="466"/>
        <w:gridCol w:w="109"/>
        <w:gridCol w:w="109"/>
        <w:gridCol w:w="109"/>
        <w:gridCol w:w="109"/>
        <w:gridCol w:w="211"/>
        <w:gridCol w:w="691"/>
        <w:gridCol w:w="109"/>
        <w:gridCol w:w="109"/>
        <w:gridCol w:w="109"/>
        <w:gridCol w:w="109"/>
        <w:gridCol w:w="211"/>
        <w:gridCol w:w="691"/>
        <w:gridCol w:w="109"/>
        <w:gridCol w:w="109"/>
        <w:gridCol w:w="109"/>
        <w:gridCol w:w="109"/>
        <w:gridCol w:w="211"/>
        <w:gridCol w:w="79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c2a00e3edcf249fcacf86dc85564e999_7">
        <w:r>
          <w:rPr>
            <w:rStyle w:val="InternetLink"/>
            <w:rFonts w:ascii="Times New Roman;serif" w:hAnsi="Times New Roman;serif"/>
            <w:b w:val="false"/>
            <w:color w:val="000080"/>
            <w:sz w:val="20"/>
            <w:u w:val="single"/>
          </w:rPr>
          <w:t>Table of Conten</w:t>
        </w:r>
      </w:hyperlink>
      <w:hyperlink w:anchor="ic2a00e3edcf249fcacf86dc85564e999_7">
        <w:r>
          <w:rPr>
            <w:rStyle w:val="InternetLink"/>
            <w:rFonts w:ascii="Times New Roman;serif" w:hAnsi="Times New Roman;serif"/>
            <w:b w:val="false"/>
            <w:color w:val="000080"/>
            <w:sz w:val="20"/>
            <w:u w:val="single"/>
          </w:rPr>
          <w:t>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Playboy,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amounts)</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971"/>
        <w:gridCol w:w="2386"/>
        <w:gridCol w:w="2358"/>
        <w:gridCol w:w="196"/>
        <w:gridCol w:w="736"/>
        <w:gridCol w:w="109"/>
        <w:gridCol w:w="109"/>
        <w:gridCol w:w="109"/>
        <w:gridCol w:w="109"/>
        <w:gridCol w:w="202"/>
        <w:gridCol w:w="758"/>
        <w:gridCol w:w="162"/>
      </w:tblGrid>
      <w:tr>
        <w:trPr/>
        <w:tc>
          <w:tcPr>
            <w:tcW w:w="297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$0.8 million and $0.7 million of allowance for credit losses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65,468 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292,372 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pursuant to a stock repurchase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63,794 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274,205 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Mezzanine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$0.0001 per share, 400,000,000 shares authorized, 123,460,167 shares issued and 118,353,343 shares outstanding as of June 30, 2026; 400,000,000 shares authorized, 115,069,810 shares issued and 112,819,881 shares outstanding as of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5,106,824 and 2,249,929 shares as of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Noncontrolling interest (Note 9)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equity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c2a00e3edcf249fcacf86dc85564e999_7">
        <w:r>
          <w:rPr>
            <w:rStyle w:val="InternetLink"/>
            <w:rFonts w:ascii="Times New Roman;serif" w:hAnsi="Times New Roman;serif"/>
            <w:b w:val="false"/>
            <w:color w:val="000080"/>
            <w:sz w:val="20"/>
            <w:u w:val="single"/>
          </w:rPr>
          <w:t>Table of Conten</w:t>
        </w:r>
      </w:hyperlink>
      <w:hyperlink w:anchor="ic2a00e3edcf249fcacf86dc85564e999_7">
        <w:r>
          <w:rPr>
            <w:rStyle w:val="InternetLink"/>
            <w:rFonts w:ascii="Times New Roman;serif" w:hAnsi="Times New Roman;serif"/>
            <w:b w:val="false"/>
            <w:color w:val="000080"/>
            <w:sz w:val="20"/>
            <w:u w:val="single"/>
          </w:rPr>
          <w:t>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Playboy,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 (Deficit)</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(Unaudited; in thousands, except share amounts)</w:t>
      </w:r>
    </w:p>
    <w:tbl>
      <w:tblPr>
        <w:tblW w:w="13490" w:type="dxa"/>
        <w:jc w:val="left"/>
        <w:tblInd w:w="0" w:type="dxa"/>
        <w:tblLayout w:type="fixed"/>
        <w:tblCellMar>
          <w:top w:w="28" w:type="dxa"/>
          <w:left w:w="28" w:type="dxa"/>
          <w:bottom w:w="28" w:type="dxa"/>
          <w:right w:w="28" w:type="dxa"/>
        </w:tblCellMar>
      </w:tblPr>
      <w:tblGrid>
        <w:gridCol w:w="726"/>
        <w:gridCol w:w="229"/>
        <w:gridCol w:w="231"/>
        <w:gridCol w:w="342"/>
        <w:gridCol w:w="709"/>
        <w:gridCol w:w="109"/>
        <w:gridCol w:w="109"/>
        <w:gridCol w:w="109"/>
        <w:gridCol w:w="109"/>
        <w:gridCol w:w="231"/>
        <w:gridCol w:w="390"/>
        <w:gridCol w:w="130"/>
        <w:gridCol w:w="109"/>
        <w:gridCol w:w="109"/>
        <w:gridCol w:w="109"/>
        <w:gridCol w:w="196"/>
        <w:gridCol w:w="571"/>
        <w:gridCol w:w="109"/>
        <w:gridCol w:w="109"/>
        <w:gridCol w:w="109"/>
        <w:gridCol w:w="109"/>
        <w:gridCol w:w="196"/>
        <w:gridCol w:w="736"/>
        <w:gridCol w:w="109"/>
        <w:gridCol w:w="109"/>
        <w:gridCol w:w="109"/>
        <w:gridCol w:w="109"/>
        <w:gridCol w:w="264"/>
        <w:gridCol w:w="893"/>
        <w:gridCol w:w="149"/>
        <w:gridCol w:w="109"/>
        <w:gridCol w:w="109"/>
        <w:gridCol w:w="109"/>
        <w:gridCol w:w="208"/>
        <w:gridCol w:w="800"/>
        <w:gridCol w:w="118"/>
        <w:gridCol w:w="109"/>
        <w:gridCol w:w="109"/>
        <w:gridCol w:w="109"/>
        <w:gridCol w:w="241"/>
        <w:gridCol w:w="795"/>
        <w:gridCol w:w="135"/>
        <w:gridCol w:w="109"/>
        <w:gridCol w:w="109"/>
        <w:gridCol w:w="109"/>
        <w:gridCol w:w="340"/>
        <w:gridCol w:w="731"/>
        <w:gridCol w:w="190"/>
        <w:gridCol w:w="109"/>
        <w:gridCol w:w="109"/>
        <w:gridCol w:w="109"/>
        <w:gridCol w:w="196"/>
        <w:gridCol w:w="64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9720" w:type="dxa"/>
            <w:gridSpan w:val="42"/>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25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34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115,398,590 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777,751 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(26,124)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(710,879)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33,487 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34,288 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equity incentive plans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2,864,272 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vesting of restricted stock units</w:t>
            </w:r>
          </w:p>
        </w:tc>
        <w:tc>
          <w:tcPr>
            <w:tcW w:w="34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pursuant to a stock repurchase agreement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(1,904,762)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(15,018)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(17,019)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(17,019)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Sale of common stock, net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1,995,243 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2,751 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2,751 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118,353,343 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(9,273)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767,983 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(25,985)</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(710,681)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22,055 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703" w:type="dxa"/>
        <w:jc w:val="left"/>
        <w:tblInd w:w="0" w:type="dxa"/>
        <w:tblLayout w:type="fixed"/>
        <w:tblCellMar>
          <w:top w:w="28" w:type="dxa"/>
          <w:left w:w="28" w:type="dxa"/>
          <w:bottom w:w="28" w:type="dxa"/>
          <w:right w:w="28" w:type="dxa"/>
        </w:tblCellMar>
      </w:tblPr>
      <w:tblGrid>
        <w:gridCol w:w="726"/>
        <w:gridCol w:w="229"/>
        <w:gridCol w:w="231"/>
        <w:gridCol w:w="570"/>
        <w:gridCol w:w="571"/>
        <w:gridCol w:w="211"/>
        <w:gridCol w:w="109"/>
        <w:gridCol w:w="109"/>
        <w:gridCol w:w="109"/>
        <w:gridCol w:w="196"/>
        <w:gridCol w:w="646"/>
        <w:gridCol w:w="109"/>
        <w:gridCol w:w="214"/>
        <w:gridCol w:w="214"/>
        <w:gridCol w:w="214"/>
        <w:gridCol w:w="480"/>
        <w:gridCol w:w="481"/>
        <w:gridCol w:w="211"/>
        <w:gridCol w:w="109"/>
        <w:gridCol w:w="109"/>
        <w:gridCol w:w="109"/>
        <w:gridCol w:w="231"/>
        <w:gridCol w:w="390"/>
        <w:gridCol w:w="130"/>
        <w:gridCol w:w="109"/>
        <w:gridCol w:w="109"/>
        <w:gridCol w:w="109"/>
        <w:gridCol w:w="196"/>
        <w:gridCol w:w="571"/>
        <w:gridCol w:w="109"/>
        <w:gridCol w:w="109"/>
        <w:gridCol w:w="109"/>
        <w:gridCol w:w="109"/>
        <w:gridCol w:w="196"/>
        <w:gridCol w:w="736"/>
        <w:gridCol w:w="109"/>
        <w:gridCol w:w="109"/>
        <w:gridCol w:w="109"/>
        <w:gridCol w:w="109"/>
        <w:gridCol w:w="264"/>
        <w:gridCol w:w="893"/>
        <w:gridCol w:w="149"/>
        <w:gridCol w:w="109"/>
        <w:gridCol w:w="109"/>
        <w:gridCol w:w="109"/>
        <w:gridCol w:w="208"/>
        <w:gridCol w:w="800"/>
        <w:gridCol w:w="118"/>
        <w:gridCol w:w="109"/>
        <w:gridCol w:w="109"/>
        <w:gridCol w:w="109"/>
        <w:gridCol w:w="196"/>
        <w:gridCol w:w="66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1251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263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Mezzanine Equity</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924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Series B Convertible Preferred Stock</w:t>
            </w:r>
          </w:p>
        </w:tc>
        <w:tc>
          <w:tcPr>
            <w:tcW w:w="642"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21,000.00001 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18,374 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93,934,569 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724,971 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(28,196)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(702,718)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equity incentive plans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731,256 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vesting of restricted stock units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accretion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(7,679)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1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21,000.00001 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94,665,825 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(5,445)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725,881 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(27,203)</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(710,733)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(17,490)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pStyle w:val="TextBody"/>
        <w:bidi w:val="0"/>
        <w:spacing w:before="140" w:after="283"/>
        <w:jc w:val="center"/>
        <w:rPr/>
      </w:pPr>
      <w:r>
        <w:rPr/>
      </w:r>
    </w:p>
    <w:p>
      <w:pPr>
        <w:pStyle w:val="TextBody"/>
        <w:bidi w:val="0"/>
        <w:spacing w:before="1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c2a00e3edcf249fcacf86dc85564e999_7">
        <w:r>
          <w:rPr>
            <w:rStyle w:val="InternetLink"/>
            <w:rFonts w:ascii="Times New Roman;serif" w:hAnsi="Times New Roman;serif"/>
            <w:b w:val="false"/>
            <w:color w:val="000080"/>
            <w:sz w:val="20"/>
            <w:u w:val="single"/>
          </w:rPr>
          <w:t>Table of Conten</w:t>
        </w:r>
      </w:hyperlink>
      <w:hyperlink w:anchor="ic2a00e3edcf249fcacf86dc85564e999_7">
        <w:r>
          <w:rPr>
            <w:rStyle w:val="InternetLink"/>
            <w:rFonts w:ascii="Times New Roman;serif" w:hAnsi="Times New Roman;serif"/>
            <w:b w:val="false"/>
            <w:color w:val="000080"/>
            <w:sz w:val="20"/>
            <w:u w:val="single"/>
          </w:rPr>
          <w:t>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Playboy, Inc.</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 (Deficit)</w:t>
      </w:r>
    </w:p>
    <w:p>
      <w:pPr>
        <w:pStyle w:val="TextBody"/>
        <w:bidi w:val="0"/>
        <w:spacing w:lineRule="auto" w:line="288" w:before="60" w:after="283"/>
        <w:jc w:val="center"/>
        <w:rPr>
          <w:rFonts w:ascii="Times New Roman;serif" w:hAnsi="Times New Roman;serif"/>
          <w:b/>
          <w:i/>
          <w:color w:val="000000"/>
          <w:sz w:val="20"/>
        </w:rPr>
      </w:pPr>
      <w:r>
        <w:rPr>
          <w:rFonts w:ascii="Times New Roman;serif" w:hAnsi="Times New Roman;serif"/>
          <w:b/>
          <w:i/>
          <w:color w:val="000000"/>
          <w:sz w:val="20"/>
        </w:rPr>
        <w:t>(Unaudited; in thousands, except share amounts)</w:t>
      </w:r>
    </w:p>
    <w:tbl>
      <w:tblPr>
        <w:tblW w:w="13042" w:type="dxa"/>
        <w:jc w:val="left"/>
        <w:tblInd w:w="0" w:type="dxa"/>
        <w:tblLayout w:type="fixed"/>
        <w:tblCellMar>
          <w:top w:w="28" w:type="dxa"/>
          <w:left w:w="28" w:type="dxa"/>
          <w:bottom w:w="28" w:type="dxa"/>
          <w:right w:w="28" w:type="dxa"/>
        </w:tblCellMar>
      </w:tblPr>
      <w:tblGrid>
        <w:gridCol w:w="584"/>
        <w:gridCol w:w="210"/>
        <w:gridCol w:w="212"/>
        <w:gridCol w:w="525"/>
        <w:gridCol w:w="526"/>
        <w:gridCol w:w="196"/>
        <w:gridCol w:w="109"/>
        <w:gridCol w:w="109"/>
        <w:gridCol w:w="109"/>
        <w:gridCol w:w="212"/>
        <w:gridCol w:w="359"/>
        <w:gridCol w:w="120"/>
        <w:gridCol w:w="109"/>
        <w:gridCol w:w="109"/>
        <w:gridCol w:w="109"/>
        <w:gridCol w:w="196"/>
        <w:gridCol w:w="571"/>
        <w:gridCol w:w="109"/>
        <w:gridCol w:w="109"/>
        <w:gridCol w:w="109"/>
        <w:gridCol w:w="109"/>
        <w:gridCol w:w="196"/>
        <w:gridCol w:w="736"/>
        <w:gridCol w:w="109"/>
        <w:gridCol w:w="109"/>
        <w:gridCol w:w="109"/>
        <w:gridCol w:w="109"/>
        <w:gridCol w:w="246"/>
        <w:gridCol w:w="832"/>
        <w:gridCol w:w="138"/>
        <w:gridCol w:w="109"/>
        <w:gridCol w:w="109"/>
        <w:gridCol w:w="109"/>
        <w:gridCol w:w="196"/>
        <w:gridCol w:w="751"/>
        <w:gridCol w:w="109"/>
        <w:gridCol w:w="109"/>
        <w:gridCol w:w="109"/>
        <w:gridCol w:w="109"/>
        <w:gridCol w:w="225"/>
        <w:gridCol w:w="744"/>
        <w:gridCol w:w="127"/>
        <w:gridCol w:w="109"/>
        <w:gridCol w:w="109"/>
        <w:gridCol w:w="109"/>
        <w:gridCol w:w="324"/>
        <w:gridCol w:w="696"/>
        <w:gridCol w:w="181"/>
        <w:gridCol w:w="109"/>
        <w:gridCol w:w="109"/>
        <w:gridCol w:w="109"/>
        <w:gridCol w:w="196"/>
        <w:gridCol w:w="64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12036" w:type="dxa"/>
            <w:gridSpan w:val="5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34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 xml:space="preserve">Total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color w:val="000000"/>
                <w:sz w:val="17"/>
              </w:rPr>
            </w:pPr>
            <w:r>
              <w:rPr>
                <w:rFonts w:ascii="Times New Roman;serif" w:hAnsi="Times New Roman;serif"/>
                <w:b/>
                <w:color w:val="000000"/>
                <w:sz w:val="17"/>
              </w:rPr>
              <w:t>Balance at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112,819,881 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(5,445)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757,441 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(26,716)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(706,916)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18,375 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18,375 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Shares issued in connection with equity incentive plans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5,005,363 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 and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3,668 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3,668 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Shares withheld for taxes in connection with vested 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(952,133)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(1,828)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(1,828)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Repurchase of shares pursuant to a stock repurchase agreement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(1,904,762)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(17,019)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(17,019)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Sale of common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3,384,994 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5,289 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5,289 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Issuance and sale of noncontrolling equity interest (Note 9)</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14,202 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801 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15,003 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Noncontrolling interest capital contribution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2,402 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2,402 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(3,765)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7"/>
              </w:rPr>
            </w:pPr>
            <w:r>
              <w:rPr>
                <w:rFonts w:ascii="Times New Roman;serif" w:hAnsi="Times New Roman;serif"/>
                <w:b/>
                <w:color w:val="000000"/>
                <w:sz w:val="17"/>
              </w:rPr>
              <w:t>Balance at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118,353,343 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(9,273)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767,983 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(25,985)</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(710,681)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22,055 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801 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22,856 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438" w:type="dxa"/>
        <w:jc w:val="left"/>
        <w:tblInd w:w="0" w:type="dxa"/>
        <w:tblLayout w:type="fixed"/>
        <w:tblCellMar>
          <w:top w:w="28" w:type="dxa"/>
          <w:left w:w="28" w:type="dxa"/>
          <w:bottom w:w="28" w:type="dxa"/>
          <w:right w:w="28" w:type="dxa"/>
        </w:tblCellMar>
      </w:tblPr>
      <w:tblGrid>
        <w:gridCol w:w="634"/>
        <w:gridCol w:w="267"/>
        <w:gridCol w:w="270"/>
        <w:gridCol w:w="570"/>
        <w:gridCol w:w="571"/>
        <w:gridCol w:w="196"/>
        <w:gridCol w:w="109"/>
        <w:gridCol w:w="109"/>
        <w:gridCol w:w="109"/>
        <w:gridCol w:w="196"/>
        <w:gridCol w:w="646"/>
        <w:gridCol w:w="109"/>
        <w:gridCol w:w="214"/>
        <w:gridCol w:w="214"/>
        <w:gridCol w:w="214"/>
        <w:gridCol w:w="480"/>
        <w:gridCol w:w="481"/>
        <w:gridCol w:w="196"/>
        <w:gridCol w:w="109"/>
        <w:gridCol w:w="109"/>
        <w:gridCol w:w="109"/>
        <w:gridCol w:w="212"/>
        <w:gridCol w:w="359"/>
        <w:gridCol w:w="120"/>
        <w:gridCol w:w="109"/>
        <w:gridCol w:w="109"/>
        <w:gridCol w:w="109"/>
        <w:gridCol w:w="196"/>
        <w:gridCol w:w="571"/>
        <w:gridCol w:w="109"/>
        <w:gridCol w:w="109"/>
        <w:gridCol w:w="109"/>
        <w:gridCol w:w="109"/>
        <w:gridCol w:w="196"/>
        <w:gridCol w:w="736"/>
        <w:gridCol w:w="109"/>
        <w:gridCol w:w="109"/>
        <w:gridCol w:w="109"/>
        <w:gridCol w:w="109"/>
        <w:gridCol w:w="246"/>
        <w:gridCol w:w="832"/>
        <w:gridCol w:w="138"/>
        <w:gridCol w:w="109"/>
        <w:gridCol w:w="109"/>
        <w:gridCol w:w="109"/>
        <w:gridCol w:w="196"/>
        <w:gridCol w:w="751"/>
        <w:gridCol w:w="109"/>
        <w:gridCol w:w="109"/>
        <w:gridCol w:w="109"/>
        <w:gridCol w:w="109"/>
        <w:gridCol w:w="196"/>
        <w:gridCol w:w="66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1226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26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Mezzanine Equity</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901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Series B Convertible Preferred Stock</w:t>
            </w:r>
          </w:p>
        </w:tc>
        <w:tc>
          <w:tcPr>
            <w:tcW w:w="642" w:type="dxa"/>
            <w:gridSpan w:val="3"/>
            <w:tcBorders/>
            <w:tcMar>
              <w:top w:w="0" w:type="dxa"/>
              <w:left w:w="0" w:type="dxa"/>
              <w:bottom w:w="0" w:type="dxa"/>
              <w:right w:w="0" w:type="dxa"/>
            </w:tcMar>
            <w:vAlign w:val="center"/>
          </w:tcPr>
          <w:p>
            <w:pPr>
              <w:pStyle w:val="TableContents"/>
              <w:bidi w:val="0"/>
              <w:spacing w:before="0" w:after="283"/>
              <w:ind w:left="0" w:right="0" w:firstLine="556"/>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7"/>
              </w:rPr>
            </w:pPr>
            <w:r>
              <w:rPr>
                <w:rFonts w:ascii="Times New Roman;serif" w:hAnsi="Times New Roman;serif"/>
                <w:b/>
                <w:color w:val="000000"/>
                <w:sz w:val="17"/>
              </w:rPr>
              <w:t>Balance at December 31, 2024</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28,000.00001 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89,861,035 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(5,445)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718,797 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(27,455)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(693,637)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(7,731)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Shares issued in connection with equity incentive plans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1,020,102 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 and vesting of restricted stock units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2,353 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Conversion of convertible preferred stock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3,784,688 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Preferred stock accretion </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(2,269)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(376)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(16,720)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(16,720)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7"/>
              </w:rPr>
            </w:pPr>
            <w:r>
              <w:rPr>
                <w:rFonts w:ascii="Times New Roman;serif" w:hAnsi="Times New Roman;serif"/>
                <w:b/>
                <w:color w:val="000000"/>
                <w:sz w:val="17"/>
              </w:rPr>
              <w:t>Balance at June 30, 2025</w:t>
            </w:r>
          </w:p>
        </w:tc>
        <w:tc>
          <w:tcPr>
            <w:tcW w:w="11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21,000.00001 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19,130 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94,665,825 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(5,445)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725,881 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(27,203)</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(710,733)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7"/>
              </w:rPr>
            </w:pPr>
            <w:r>
              <w:rPr>
                <w:rFonts w:ascii="Times New Roman;serif" w:hAnsi="Times New Roman;serif"/>
                <w:b w:val="false"/>
                <w:color w:val="000000"/>
                <w:sz w:val="17"/>
              </w:rPr>
              <w:t>(17,490)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c2a00e3edcf249fcacf86dc85564e999_7">
        <w:r>
          <w:rPr>
            <w:rStyle w:val="InternetLink"/>
            <w:rFonts w:ascii="Times New Roman;serif" w:hAnsi="Times New Roman;serif"/>
            <w:b w:val="false"/>
            <w:color w:val="000080"/>
            <w:sz w:val="20"/>
            <w:u w:val="single"/>
          </w:rPr>
          <w:t>Table of Conten</w:t>
        </w:r>
      </w:hyperlink>
      <w:hyperlink w:anchor="ic2a00e3edcf249fcacf86dc85564e999_7">
        <w:r>
          <w:rPr>
            <w:rStyle w:val="InternetLink"/>
            <w:rFonts w:ascii="Times New Roman;serif" w:hAnsi="Times New Roman;serif"/>
            <w:b w:val="false"/>
            <w:color w:val="000080"/>
            <w:sz w:val="20"/>
            <w:u w:val="single"/>
          </w:rPr>
          <w:t>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Playboy, Inc.</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60" w:after="283"/>
        <w:jc w:val="center"/>
        <w:rPr>
          <w:rFonts w:ascii="Times New Roman;serif" w:hAnsi="Times New Roman;serif"/>
          <w:b/>
          <w:i/>
          <w:color w:val="000000"/>
          <w:sz w:val="18"/>
        </w:rPr>
      </w:pPr>
      <w:r>
        <w:rPr>
          <w:rFonts w:ascii="Times New Roman;serif" w:hAnsi="Times New Roman;serif"/>
          <w:b/>
          <w:i/>
          <w:color w:val="000000"/>
          <w:sz w:val="18"/>
        </w:rPr>
        <w:t>(Unaudited)</w:t>
      </w:r>
    </w:p>
    <w:p>
      <w:pPr>
        <w:pStyle w:val="TextBody"/>
        <w:bidi w:val="0"/>
        <w:spacing w:lineRule="auto" w:line="288" w:before="60" w:after="283"/>
        <w:jc w:val="center"/>
        <w:rPr>
          <w:rFonts w:ascii="Times New Roman;serif" w:hAnsi="Times New Roman;serif"/>
          <w:b/>
          <w:i/>
          <w:color w:val="000000"/>
          <w:sz w:val="18"/>
        </w:rPr>
      </w:pPr>
      <w:r>
        <w:rPr>
          <w:rFonts w:ascii="Times New Roman;serif" w:hAnsi="Times New Roman;serif"/>
          <w:b/>
          <w:i/>
          <w:color w:val="000000"/>
          <w:sz w:val="18"/>
        </w:rPr>
        <w:t>(in thousands)</w:t>
      </w:r>
    </w:p>
    <w:tbl>
      <w:tblPr>
        <w:tblW w:w="7778" w:type="dxa"/>
        <w:jc w:val="center"/>
        <w:tblInd w:w="0" w:type="dxa"/>
        <w:tblLayout w:type="fixed"/>
        <w:tblCellMar>
          <w:top w:w="28" w:type="dxa"/>
          <w:left w:w="28" w:type="dxa"/>
          <w:bottom w:w="28" w:type="dxa"/>
          <w:right w:w="28" w:type="dxa"/>
        </w:tblCellMar>
      </w:tblPr>
      <w:tblGrid>
        <w:gridCol w:w="1964"/>
        <w:gridCol w:w="1730"/>
        <w:gridCol w:w="1735"/>
        <w:gridCol w:w="196"/>
        <w:gridCol w:w="646"/>
        <w:gridCol w:w="109"/>
        <w:gridCol w:w="109"/>
        <w:gridCol w:w="109"/>
        <w:gridCol w:w="109"/>
        <w:gridCol w:w="196"/>
        <w:gridCol w:w="721"/>
        <w:gridCol w:w="154"/>
      </w:tblGrid>
      <w:tr>
        <w:trPr/>
        <w:tc>
          <w:tcPr>
            <w:tcW w:w="196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premium, net and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paid-in-kind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agency fees and commissions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revenues, current portion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net of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initial closing of new China joint venture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artwork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capital contribution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to repurchase shares pursuant to a stock repurchase agreement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in connection with vested restricted stock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 and 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and restricted cash consist of:</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c2a00e3edcf249fcacf86dc85564e999_7">
        <w:r>
          <w:rPr>
            <w:rStyle w:val="InternetLink"/>
            <w:rFonts w:ascii="Times New Roman;serif" w:hAnsi="Times New Roman;serif"/>
            <w:b w:val="false"/>
            <w:color w:val="000080"/>
            <w:sz w:val="20"/>
            <w:u w:val="single"/>
          </w:rPr>
          <w:t>Table of Conten</w:t>
        </w:r>
      </w:hyperlink>
      <w:hyperlink w:anchor="ic2a00e3edcf249fcacf86dc85564e999_7">
        <w:r>
          <w:rPr>
            <w:rStyle w:val="InternetLink"/>
            <w:rFonts w:ascii="Times New Roman;serif" w:hAnsi="Times New Roman;serif"/>
            <w:b w:val="false"/>
            <w:color w:val="000080"/>
            <w:sz w:val="20"/>
            <w:u w:val="single"/>
          </w:rPr>
          <w:t>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Playboy, Inc.</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Cash Flows (Continued) </w:t>
      </w:r>
    </w:p>
    <w:p>
      <w:pPr>
        <w:pStyle w:val="TextBody"/>
        <w:bidi w:val="0"/>
        <w:spacing w:lineRule="auto" w:line="288" w:before="60" w:after="283"/>
        <w:jc w:val="center"/>
        <w:rPr>
          <w:rFonts w:ascii="Times New Roman;serif" w:hAnsi="Times New Roman;serif"/>
          <w:b/>
          <w:i/>
          <w:color w:val="000000"/>
          <w:sz w:val="18"/>
        </w:rPr>
      </w:pPr>
      <w:r>
        <w:rPr>
          <w:rFonts w:ascii="Times New Roman;serif" w:hAnsi="Times New Roman;serif"/>
          <w:b/>
          <w:i/>
          <w:color w:val="000000"/>
          <w:sz w:val="18"/>
        </w:rPr>
        <w:t>(Unaudited)</w:t>
      </w:r>
    </w:p>
    <w:p>
      <w:pPr>
        <w:pStyle w:val="TextBody"/>
        <w:bidi w:val="0"/>
        <w:spacing w:lineRule="auto" w:line="288" w:before="60" w:after="283"/>
        <w:jc w:val="center"/>
        <w:rPr>
          <w:rFonts w:ascii="Times New Roman;serif" w:hAnsi="Times New Roman;serif"/>
          <w:b/>
          <w:i/>
          <w:color w:val="000000"/>
          <w:sz w:val="18"/>
        </w:rPr>
      </w:pPr>
      <w:r>
        <w:rPr>
          <w:rFonts w:ascii="Times New Roman;serif" w:hAnsi="Times New Roman;serif"/>
          <w:b/>
          <w:i/>
          <w:color w:val="000000"/>
          <w:sz w:val="18"/>
        </w:rPr>
        <w:t>(in thousands)</w:t>
      </w:r>
    </w:p>
    <w:p>
      <w:pPr>
        <w:pStyle w:val="TextBody"/>
        <w:bidi w:val="0"/>
        <w:spacing w:before="60" w:after="283"/>
        <w:jc w:val="center"/>
        <w:rPr/>
      </w:pPr>
      <w:r>
        <w:rPr/>
      </w:r>
    </w:p>
    <w:tbl>
      <w:tblPr>
        <w:tblW w:w="9474" w:type="dxa"/>
        <w:jc w:val="center"/>
        <w:tblInd w:w="0" w:type="dxa"/>
        <w:tblLayout w:type="fixed"/>
        <w:tblCellMar>
          <w:top w:w="28" w:type="dxa"/>
          <w:left w:w="28" w:type="dxa"/>
          <w:bottom w:w="28" w:type="dxa"/>
          <w:right w:w="28" w:type="dxa"/>
        </w:tblCellMar>
      </w:tblPr>
      <w:tblGrid>
        <w:gridCol w:w="2644"/>
        <w:gridCol w:w="2319"/>
        <w:gridCol w:w="2327"/>
        <w:gridCol w:w="196"/>
        <w:gridCol w:w="646"/>
        <w:gridCol w:w="109"/>
        <w:gridCol w:w="109"/>
        <w:gridCol w:w="109"/>
        <w:gridCol w:w="109"/>
        <w:gridCol w:w="196"/>
        <w:gridCol w:w="556"/>
        <w:gridCol w:w="154"/>
      </w:tblGrid>
      <w:tr>
        <w:trPr/>
        <w:tc>
          <w:tcPr>
            <w:tcW w:w="2644"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Supplemental Disclosures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pursuant to a stock repurchase agreement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relation to the conversion of preferred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accretion to redemption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 to related party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Right-of-use assets in exchange for lease liabilities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 in exchange for finance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sold under an at-the-market offering with proceeds received subsequent to period-end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vendor accounts receivable against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right-of-use assets due to lease termination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improvement allowance receivable recognized as a reduction of right-of-use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Playboy,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Playboy, Inc. (formerly known as PLBY Group, Inc. from February 10, 2021 through June 24, 2025, the “Company”, “we”, “our” or “us”), together with its subsidiaries through which it conducts business, is a global consumer lifestyle company marketing the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brand through a wide range of direct-to-consumer products,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magazine, licensing initiatives, digital subscriptions and content, and online and location-based entertainment, in addition to the sale of direct-to-consumer products through its </w:t>
      </w:r>
      <w:r>
        <w:rPr>
          <w:rFonts w:ascii="Times New Roman;serif" w:hAnsi="Times New Roman;serif"/>
          <w:b w:val="false"/>
          <w:i/>
          <w:color w:val="000000"/>
          <w:sz w:val="20"/>
        </w:rPr>
        <w:t>Honey Birdette</w:t>
      </w:r>
      <w:r>
        <w:rPr>
          <w:color w:val="000000"/>
        </w:rPr>
        <w:t xml:space="preserve"> </w:t>
      </w:r>
      <w:r>
        <w:rPr>
          <w:rFonts w:ascii="Times New Roman;serif" w:hAnsi="Times New Roman;serif"/>
          <w:b w:val="false"/>
          <w:color w:val="000000"/>
          <w:sz w:val="20"/>
        </w:rPr>
        <w:t>brand.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interim condensed consolidated financial statements and accompanying notes were prepared in accordance with accounting principles generally accepted in the United States (“GAAP”).</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include our accounts and all majority-owned subsidiaries. Intercompany accounts and transactions have been eliminated in consolidation. The Company follows a monthly reporting calendar, with its fiscal year ending on December 31.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Unaudited Interim Condensed Consolidated Financial Statements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The interim condensed consolidated balance sheet as of June 30, 2026, and the interim condensed consolidated statements of operations, comprehensive loss, cash flows, and equity for the three and six months ended June 30, 2026 and 2025 are unaudited. The unaudited interim condensed consolidated financial statements have been prepared on the same basis as the annual consolidated financial statements and reflect, in the opinion of management, all adjustments of a normal and recurring nature that are necessary for the fair statement of our financial position as of June 30, 2026 and our results of operations and cash flows for the six months ended June 30, 2026 and 2025. The financial data and other financial information disclosed in these notes to the interim condensed consolidated financial statements related to the three and six-month periods are also unaudited. The interim condensed consolidated results of operations for the six months ended June 30, 2026 are not necessarily indicative of the results to be expected for the year ending December 31, 2026 or for any future annual or interim period. The interim condensed consolidated balance sheet as of December 31, 2025 included herein was derived from the audited financial statements as of that date. These interim condensed consolidated financial statements should be read in conjunction with our audited financial statements included in the </w:t>
      </w:r>
      <w:hyperlink r:id="rId2">
        <w:r>
          <w:rPr>
            <w:rStyle w:val="InternetLink"/>
            <w:rFonts w:ascii="Times New Roman;serif" w:hAnsi="Times New Roman;serif"/>
            <w:b w:val="false"/>
            <w:color w:val="000080"/>
            <w:sz w:val="20"/>
            <w:u w:val="single"/>
          </w:rPr>
          <w:t>Annual Report on Form 10-K</w:t>
        </w:r>
      </w:hyperlink>
      <w:hyperlink r:id="rId3">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rPr>
        <w:t>as filed by us with the U.S. Securities and Exchange Commission (the “SEC”) on March 16,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as of the date of the financial statements and the reported amounts of revenues and expenses during the reporting period.</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assess these estimates, including, but not limited to, valuation of our trademarks and trade names; valuation of our contingent consideration liabilities; valuation of our income taxes; valuation of any authorized and issued preferred stock; the adequacy of reserves associated with accounts receivable and inventory; unredeemed gift cards and store credits; licensing commission accruals; and assessment of the consolidation of any variable interest entities. We base these estimates on historical experience and on various other market-specific and relevant assumptions that we believe to be reasonable under the circumstances. Actual results could differ from these estimates and such differences could be material to the financial position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Concentrations of Business and Credit Risk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certain cash balances in excess of Federal Deposit Insurance Corporation insured limits. We periodically evaluate the credit worthiness of the financial institutions with which we maintain cash deposits. We have not experienced any losses in such accounts and do not believe that there is any material credit risk to our cash. Concentration of credit risk with respect to accounts receivable is limited due to the wide variety of customers to whom our products are sold and/or licensed, with the exception of one licensee as described in the table below.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revenue from our customers exceeding 10% of our total revenue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742"/>
        <w:gridCol w:w="653"/>
        <w:gridCol w:w="658"/>
        <w:gridCol w:w="382"/>
        <w:gridCol w:w="307"/>
        <w:gridCol w:w="667"/>
        <w:gridCol w:w="268"/>
        <w:gridCol w:w="268"/>
        <w:gridCol w:w="268"/>
        <w:gridCol w:w="382"/>
        <w:gridCol w:w="307"/>
        <w:gridCol w:w="667"/>
        <w:gridCol w:w="268"/>
        <w:gridCol w:w="268"/>
        <w:gridCol w:w="268"/>
        <w:gridCol w:w="363"/>
        <w:gridCol w:w="337"/>
        <w:gridCol w:w="719"/>
        <w:gridCol w:w="289"/>
        <w:gridCol w:w="289"/>
        <w:gridCol w:w="289"/>
        <w:gridCol w:w="363"/>
        <w:gridCol w:w="337"/>
        <w:gridCol w:w="846"/>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A</w:t>
            </w:r>
            <w:r>
              <w:rPr>
                <w:rFonts w:ascii="Times New Roman;serif" w:hAnsi="Times New Roman;serif"/>
                <w:b w:val="false"/>
                <w:color w:val="000000"/>
                <w:sz w:val="13"/>
              </w:rPr>
              <w:t>(1)</w:t>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ableContents"/>
              <w:bidi w:val="0"/>
              <w:spacing w:lineRule="auto" w:line="240" w:before="6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20"/>
              </w:rPr>
              <w:t xml:space="preserve">Represents minimum guaranteed royalties from licensed digital operations of our Playboy Plus, Playboy TV (online and linear) and Playboy Club digital businesses to Byborg Enterprises SA (“Byborg”) pursuant to a License &amp; Management Agreement (the “LMA”) we entered into with Byborg in the fourth quarter of 2024. Refer to Note 19, Related Party Transactions, within the notes to our audited consolidated financial statements set forth in our </w:t>
            </w:r>
            <w:hyperlink r:id="rId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filed with the SEC on March 16, 2026, for details regarding the LMA.</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receivables from any individual customer of ours exceeding 10% of our total receivables as of June 30, 2026 and December 31, 2025: </w:t>
      </w:r>
    </w:p>
    <w:p>
      <w:pPr>
        <w:pStyle w:val="TextBody"/>
        <w:bidi w:val="0"/>
        <w:spacing w:before="0" w:after="0"/>
        <w:ind w:left="0" w:right="0" w:firstLine="720"/>
        <w:jc w:val="both"/>
        <w:rPr/>
      </w:pPr>
      <w:r>
        <w:rPr/>
      </w:r>
    </w:p>
    <w:tbl>
      <w:tblPr>
        <w:tblW w:w="7569" w:type="dxa"/>
        <w:jc w:val="left"/>
        <w:tblInd w:w="0" w:type="dxa"/>
        <w:tblLayout w:type="fixed"/>
        <w:tblCellMar>
          <w:top w:w="28" w:type="dxa"/>
          <w:left w:w="28" w:type="dxa"/>
          <w:bottom w:w="28" w:type="dxa"/>
          <w:right w:w="28" w:type="dxa"/>
        </w:tblCellMar>
      </w:tblPr>
      <w:tblGrid>
        <w:gridCol w:w="863"/>
        <w:gridCol w:w="758"/>
        <w:gridCol w:w="767"/>
        <w:gridCol w:w="571"/>
        <w:gridCol w:w="571"/>
        <w:gridCol w:w="576"/>
        <w:gridCol w:w="231"/>
        <w:gridCol w:w="231"/>
        <w:gridCol w:w="231"/>
        <w:gridCol w:w="809"/>
        <w:gridCol w:w="809"/>
        <w:gridCol w:w="115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1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D </w:t>
            </w:r>
          </w:p>
        </w:tc>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69"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 Indicates receivables for the customer did not exceed 10% of our total receivable balance.</w:t>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our restricted cash primarily related to a cash collateralized letter of credit we maintained in connection with the lease of our Los Angeles headquarters, cash collateralized letters of credit in relation to the lease of office space in Miami Beach, and Honey Birdette’s term deposit in relation to its Sydney office lease.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Assessment</w:t>
      </w:r>
    </w:p>
    <w:p>
      <w:pPr>
        <w:pStyle w:val="TextBody"/>
        <w:bidi w:val="0"/>
        <w:spacing w:lineRule="auto" w:line="288" w:before="200" w:after="283"/>
        <w:ind w:left="0" w:right="0" w:firstLine="720"/>
        <w:jc w:val="both"/>
        <w:rPr/>
      </w:pPr>
      <w:r>
        <w:rPr>
          <w:rFonts w:ascii="Times New Roman;serif" w:hAnsi="Times New Roman;serif"/>
          <w:b w:val="false"/>
          <w:color w:val="000000"/>
          <w:sz w:val="20"/>
        </w:rPr>
        <w:t>As our financial performance continues to improve, so does the overall health of the business. Our net revenues for the three and six months ended June 30, 2026 increased by $3.1 million and $4.4 million, compared to the three and six months ended June 30, 2025, respectively. For the three and six months ended June 30, 2026, we reported net operating income of $3.0 million and</w:t>
      </w:r>
      <w:r>
        <w:rPr>
          <w:color w:val="000000"/>
        </w:rPr>
        <w:t xml:space="preserve"> </w:t>
      </w:r>
      <w:r>
        <w:rPr>
          <w:rFonts w:ascii="Times New Roman;serif" w:hAnsi="Times New Roman;serif"/>
          <w:b w:val="false"/>
          <w:color w:val="000000"/>
          <w:sz w:val="20"/>
        </w:rPr>
        <w:t>$1.3 million, respectively, an improvement from operating losses of $5.9 million and $12.1 million for the three and six months ended June 30, 2025, respectively. As of June 30, 2026, we had approximately $31.9 million in unrestricted cash and cash equivalents. We continue to expect our capital expenditures and working capital requirements in 2026 to be largely consistent with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covenants under our senior secured credit agreement (the “A&amp;R Credit Agreement”). However, due to ongoing negative macroeconomic factors and their uncertain impacts on our business, results of operations and cash flows, we could experience material decreases to net sales and operating cash flows and materially higher operating losses, and we could then experience difficulty remaining in compliance with such covenants. Refer to Note 8, Debt, for further details regarding the terms of our A&amp;R Credit Agreement and the term loans thereunder.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are prepared in accordance with GAAP applicable to a going concern, which contemplates the realization of assets and the satisfaction of liabilities in the normal course of business. Although consequences of ongoing macroeconomic uncertainty could adversely affect our liquidity and capital resources in the future, and cash requirements may fluctuate based on the timing and extent of many factors, such as those discussed above, we believe our existing sources of liquidity will be sufficient to meet our obligations as they become due under the A&amp;R Credit Agreement and our other obligations for at least one year following the date of the filing of this Quarterly Report on Form 10-Q. We may seek additional equity or debt financing in the future to satisfy capital requirements, respond to adverse changes in our circumstances or unforeseen events, or fund growth opportunities. However, in the event that additional financing is required from third-party sources, we may not be able to raise it on acceptable terms or at all.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expense advertising costs as incurred. Advertising expenses were $1.2 million for each of the three months ended June 30, 2026 and 2025, and $2.6 million and $2.2 million for the six months ended June 30, 2026 and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Gift Card Liabilities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gift cards sold to customers by recording a liability in other current liabilities and accrued expenses in our consolidated balance sheets at the time of sale, which is recognized as revenue when redeemed or when we have determined the likelihood of redemption to be remote, which is referred to as gift card breakage. Depending on the jurisdiction in which we operate, gift cards sold to customers have expiration dates ranging from three to five years from the date of sale, or they do not expire and may be subject to escheatment rights. Our gift card liability totaled $1.5 million, $1.6 million and $1.7 million as of June 30, 2026, December 31, 2025 and December 31, 2024, respectively. Revenues recognized from unredeemed gift card beginning balances were immaterial for the six months ended June 30, 2026 and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Variable Interest Entity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variable interest entity (“VIE”) is a legal entity that does not have sufficient equity at risk to finance its activities without additional subordinated financial support, or is structured such that its equity holders do not have power over the activities of the entity; have voting rights, as a group, that are not proportionate to their economic interests; or are not exposed to the residual losses or benefits of the entity. At the inception of a contractual agreement, we determine whether we hold a variable interest in a legal entity that is a VIE and whether we are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 If we conclude we are the primary beneficiary of a VIE, we consolidate the accounts of that VIE. We regularly review and reconsider previous conclusions regarding whether we hold a variable interest in a potential VIE, the status of an entity as a VIE, and whether we are the primary beneficiary of a VIE.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long-lived assets, including property and equipment, stores, acquired definite-lived intangible assets and right-of-use operating lease assets are periodically reviewed for indicators of impairment whenever events or changes in circumstances indicate that the carrying value of these assets may not be recoverable or that the useful life is shorter than originally estimated. During the three months ended June 30, 2025, we recorded impairment charges of $1.5 million on our right-of-use assets related to our corporate leases and wrote off certain of our property, plant and equipment items in the amount of $0.4 million as a result of our decision to sublease certain of our corporate office space. There were no impairments of our long-lived assets during the three and six months ended June 30, 2026.</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Comprehensive Income (Loss)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Comprehensive income (loss) consists of net income (loss) and other gains and losses affecting stockholders’ equity that, under GAAP, are excluded from net income (loss). Our other comprehensive income represents foreign currency translation adjustments attributable to Honey Birdette’s operations. Refer to the Condensed Consolidated Statements of Comprehensive Income (loss). Total net foreign currency transaction gains, net were $0.4 million and $0.8 million for the three months ended June 30, 2026 and 2025, respectively, and $1.0 million and $0.9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Income Taxes (Topic 740): Improvements to Income Tax Disclosures. Under such ASU, public entities must annually disclose specific categories in the rate reconciliation and provide additional information for reconciling items that meet a quantitative threshold (if the effect of those reconciling items is equal to or greater than five percent of the amount computed by multiplying pretax income or loss by the applicable statutory income tax rate). This ASU is effective for all entities that are subject to Topic 740, Income Taxes, for annual periods beginning after December 15, 2024, with early adoption permitted. We adopted this ASU on a retrospective basis as of December 31, 2025, and prior period income tax disclosures have been updated to conform to the new requirements. The adoption of this ASU did not have a material impact on our condensed consolidated financial statements; however, our income tax disclosures have been expanded. Refer to Note 15, Income Taxes, for further information.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FASB issued ASU 2025-05, Measurement of Credit Losses for Accounts Receivable and Contract Assets, which provides simplified guidance on measuring credit losses for current accounts receivable and contract assets. It offers a practical expedient for all entities and an accounting policy election for non-public business entities to ease the process of estimating expected credit losses under ASC 326-20. The ASU is effective for annual periods beginning after December 15, 2025, with early adoption permitted. We adopted ASU 2025-05 effective January 1, 2026, during the interim period ended March 31, 2026, and applied the guidance on a prospective basis. The adoption of ASU 2025</w:t>
        <w:noBreakHyphen/>
        <w:t>05 did not have a material impact on our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Accounting Pronouncements Issued but Not Yet Adopted</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FASB issued ASU 2024-03, Income Statement—Reporting Comprehensive Income—Expense Disaggregation Disclosures (Subtopic 220-40), which requires entities to disaggregate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An entity’s share of earnings or losses from investments accounted for under the equity method is not a relevant expense caption that requires disaggregation. Such ASU is effective for all public business entities for annual reporting periods beginning after December 15, 2026, and interim reporting periods beginning after December 15, 2027. In January 2025, FASB issued ASU 2025-01, which revises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We are currently evaluating the anticipated impact of this pronouncement on our disclosures and our condensed consolidated financial statements.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FASB issued ASU 2025-06, Intangibles — Goodwill and Other — Internal</w:t>
        <w:noBreakHyphen/>
        <w:t>Use Software (Subtopic 350</w:t>
        <w:noBreakHyphen/>
        <w:t>40): Targeted Improvements to the Accounting for Internal</w:t>
        <w:noBreakHyphen/>
        <w:t>Use Software. The ASU is intended to modernize and clarify the accounting for internal-use software, including updates to the capitalization guidance that removes references to project stages and replaces them with the concept of a probable-to-complete recognition threshold. ASU 2025-06 is effective for fiscal years beginning after December 15, 2027, and early adoption is permitted as of the beginning of an annual period. We are currently evaluating the anticipated impact of this pronouncement on our disclosures and our consolidated financial statements.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FASB issued ASU 2025-11, Interim Reporting (Topic 270), which is intended to improve the navigability of the required interim disclosures and clarifies when the guidance is applicable, as well as provides additional guidance on what disclosures should be provided in interim reporting periods. The ASU is effective for annual reporting periods beginning after December 15, 2027, and interim reporting periods beginning after December 15, 2028. We are currently evaluating the anticipated impact of this pronouncement on our disclosures and our consolidated financial statements.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which is intended to address suggestions received from stakeholders regarding Accounting Standards Codifications (“ASC”) and makes other incremental improvements to GAAP. The update represents changes to the ASC that clarify, correct errors in, or make other improvements to a variety of topics that are intended to make it easier to understand and apply. ASU 2025-12 is effective for fiscal years beginning after December 15, 2026 and interim periods within those fiscal years. Entities will be required to apply the amendments to ASC 260 retrospectively. All other amendments may be applied prospectively or retrospectively. Early adoption is permitted. We are currently evaluating the anticipated impact of this pronouncement on our disclosures and our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to improve the recognition, measurement, presentation, and disclosure requirements for participants in compliance and voluntary programs that result in the creation of environmental credits and related environmental credit obligations. ASU 2026-02 is effective for fiscal years beginning after December 15, 2027 and interim periods within those fiscal years. Early adoption of ASU 2026-02 is permitted. We are currently evaluating the anticipated impact of this pronouncement on our disclosures and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Fair Value Measurements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We apply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1 inputs: Based on unadjusted quoted prices in active markets for identical assets or liabilities.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2 inputs: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3 inputs: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cash equivalents, receivables and certain other current assets and liabilities at June 30, 2026 and December 31, 2025, the amounts reported approximate fair value (Level 1) due to their short-term nature. For debt, based upon the terms of our senior secured credit facility, including amendments through 2026, we believe that its carrying value at June 30, 2026 and December 31, 2025 approximates fair value, as our debt is variable-rate debt that reprices to current market rates frequently. Refer to Note 8, Debt, for additional disclosures about our debt. Our debt is classified within Level 2 of the valuation hierarchy.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our artwork is based on Level 2 inputs, which include market prices obtained from recent auctions of similar works of art, or management’s judgment as to their salable value.</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Liabilities Measured and Recorded at Fair Value on a Recurring Basis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our financial liabilities measured at fair value on a recurring basis by level within the fair value hierarchy (in thousands):</w:t>
      </w:r>
    </w:p>
    <w:tbl>
      <w:tblPr>
        <w:tblW w:w="6976" w:type="dxa"/>
        <w:jc w:val="left"/>
        <w:tblInd w:w="0" w:type="dxa"/>
        <w:tblLayout w:type="fixed"/>
        <w:tblCellMar>
          <w:top w:w="28" w:type="dxa"/>
          <w:left w:w="28" w:type="dxa"/>
          <w:bottom w:w="28" w:type="dxa"/>
          <w:right w:w="28" w:type="dxa"/>
        </w:tblCellMar>
      </w:tblPr>
      <w:tblGrid>
        <w:gridCol w:w="1052"/>
        <w:gridCol w:w="924"/>
        <w:gridCol w:w="934"/>
        <w:gridCol w:w="213"/>
        <w:gridCol w:w="411"/>
        <w:gridCol w:w="110"/>
        <w:gridCol w:w="109"/>
        <w:gridCol w:w="109"/>
        <w:gridCol w:w="109"/>
        <w:gridCol w:w="213"/>
        <w:gridCol w:w="411"/>
        <w:gridCol w:w="110"/>
        <w:gridCol w:w="109"/>
        <w:gridCol w:w="109"/>
        <w:gridCol w:w="109"/>
        <w:gridCol w:w="211"/>
        <w:gridCol w:w="466"/>
        <w:gridCol w:w="109"/>
        <w:gridCol w:w="109"/>
        <w:gridCol w:w="109"/>
        <w:gridCol w:w="109"/>
        <w:gridCol w:w="211"/>
        <w:gridCol w:w="46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34"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2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76" w:type="dxa"/>
        <w:jc w:val="left"/>
        <w:tblInd w:w="0" w:type="dxa"/>
        <w:tblLayout w:type="fixed"/>
        <w:tblCellMar>
          <w:top w:w="28" w:type="dxa"/>
          <w:left w:w="28" w:type="dxa"/>
          <w:bottom w:w="28" w:type="dxa"/>
          <w:right w:w="28" w:type="dxa"/>
        </w:tblCellMar>
      </w:tblPr>
      <w:tblGrid>
        <w:gridCol w:w="1052"/>
        <w:gridCol w:w="924"/>
        <w:gridCol w:w="934"/>
        <w:gridCol w:w="213"/>
        <w:gridCol w:w="411"/>
        <w:gridCol w:w="110"/>
        <w:gridCol w:w="109"/>
        <w:gridCol w:w="109"/>
        <w:gridCol w:w="109"/>
        <w:gridCol w:w="213"/>
        <w:gridCol w:w="411"/>
        <w:gridCol w:w="110"/>
        <w:gridCol w:w="109"/>
        <w:gridCol w:w="109"/>
        <w:gridCol w:w="109"/>
        <w:gridCol w:w="211"/>
        <w:gridCol w:w="466"/>
        <w:gridCol w:w="109"/>
        <w:gridCol w:w="109"/>
        <w:gridCol w:w="109"/>
        <w:gridCol w:w="109"/>
        <w:gridCol w:w="211"/>
        <w:gridCol w:w="46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34"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2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Level 1, Level 2, and Level 3 during the periods presented.</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Contingent consideration liability relates to the contingent consideration recorded in connection with our 2021 acquisition of GlowUp Digital Inc. (“GlowUp”), which was originally acquired to build our creator platform, and represents the fair value for shares which may still be issued and cash which may be paid to the GlowUp sellers, subject to certain indemnification obligations that remained unsettled as of June 30, 2026 and December 31, 2025. The entire $0.5 million contingent consideration liability outstanding as of June 30, 2026 was fully settled in July 2026 through the release of common stock and a cash payment to the former GlowUp investors. Refer to Note 19, Subsequent Events, for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such shares is remeasured each reporting date using the Company’s stock price as of each reporting date. We classified financial liabilities associated with the contingent consideration as Level 3 due to the lack of relevant observable inputs. Changes in assumptions described above could have an impact on the payout of contingent consideration.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fair value of the liabilities categorized as Level 3 for the six months ended June 30, 2026 (in thousands):</w:t>
      </w:r>
    </w:p>
    <w:tbl>
      <w:tblPr>
        <w:tblW w:w="5009" w:type="dxa"/>
        <w:jc w:val="left"/>
        <w:tblInd w:w="0" w:type="dxa"/>
        <w:tblLayout w:type="fixed"/>
        <w:tblCellMar>
          <w:top w:w="28" w:type="dxa"/>
          <w:left w:w="28" w:type="dxa"/>
          <w:bottom w:w="28" w:type="dxa"/>
          <w:right w:w="28" w:type="dxa"/>
        </w:tblCellMar>
      </w:tblPr>
      <w:tblGrid>
        <w:gridCol w:w="971"/>
        <w:gridCol w:w="855"/>
        <w:gridCol w:w="858"/>
        <w:gridCol w:w="590"/>
        <w:gridCol w:w="1303"/>
        <w:gridCol w:w="432"/>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Contingent Consideration</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the fair value of the contingent consideration for the six months ended June 30, 2026 was primarily due to the decrease in the price per share of our common stock.</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began the sale of artwork assets in the fourth quarter of 2023, but they were not fully disposed of as of December 31, 2025, and as such were classified as current assets held for sale in our condensed consolidated balance sheets as of December 31, 2025.</w:t>
      </w:r>
    </w:p>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decided to cease sales of our artwork assets. Accordingly, the entire artwork balance of $3.1 million is no longer classified as held for sale and has been reclassified to a held-and-used long-lived assets within Other Noncurrent Assets in our condensed consolidated balance sheet as of June 30, 2026.</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assumptions used in measuring fair value of our artwork held for sale are considered Level 2 inputs, which include market prices obtained from recent auctions of similar works of art, or management’s judgment as to their salable value. There were no impairment charges on our artwork held for sale recorded during the three months ended June 30, 2025. We recorded $0.3 million of impairment charges related to our artwork held for sale during the six months ended June 30, 2025. There were no impairment indicators with respect to our artwork held for sale during the three and six months ended June 30, 2026. Our artwork assets ceased being classified as held for sale as of June 30, 2026, as described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Assets Measured and Recorded at Fair Value on a Nonrecurring Basis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liabilities that are recorded at fair value on a recurring basis, we record assets and liabilities at fair value on a nonrecurring basis. Generally, our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recorded impairment charges of $1.5 million on our right-of-use assets related to our corporate leases and wrote off certain of our property, plant and equipment items in the amount of $0.4 million as a result of our decision to sublease certain of our corporate office space. There were no impairment charges to our long-lived and indefinite-lived assets during the three and six months ended June 30, 2026.</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Series B Convertible Preferred Stock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our only currently authorized preferred stock, which was not issued or outstanding as of June 30, 2026 or December 31, 2025 (our “Series B Convertible Preferred Stock”), was initially measured as of November 13, 2024 (the initial issuance date) and was estimated using a binomial lattice model in a risk-neutral framework (a special case of the income approach). Considering the conversion feature was out-of-the-money as of the issuance date and the Series B Convertible Preferred Stock was redeemable by us without penalty, we valued the Series B Convertible Preferred Stock as a non-convertible callable note. Specifically, our future yield is modeled using the Black-Derman-Toy interest rate model in a risk-neutral framework. For each modeled future yield, the value of the Series B Convertible Preferred Stock was calculated incorporating any optimal early prepayment/redemption. The value of the Series B Convertible Preferred Stock was then calculated as the probability-weighted present value over all future modeled payoffs. No subsequent fair value remeasurement was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Series B Convertible Preferred Stock, previously classified as mezzanine equity in our condensed consolidated balance sheets, was fully converted as of August 22, 2025, and as a result, all outstanding shares of our Series B Convertible Preferred Stock were eliminated. Refer to Note 11, Convertible Preferred Stock, for further 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assets relate to our trademark licensing revenue stream, which arrangements are typically long-term and non-cancelable. Contract assets are reclassified to accounts receivable when the right to bill becomes unconditional. Our contract liabilities consist of billings or payments received in advance of revenue recognition and are recognized as revenue when transfer of control to customers has occurred. Contract assets and contract liabilities are netted on a contract-by-contract basis. Contract liabilities are classified as deferred revenue in our condensed consolidated balance sheets as of June 30, 2026 and December 31,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 assets and certain contract liabilities (in thousands):</w:t>
      </w:r>
    </w:p>
    <w:tbl>
      <w:tblPr>
        <w:tblW w:w="7798" w:type="dxa"/>
        <w:jc w:val="left"/>
        <w:tblInd w:w="0" w:type="dxa"/>
        <w:tblLayout w:type="fixed"/>
        <w:tblCellMar>
          <w:top w:w="28" w:type="dxa"/>
          <w:left w:w="28" w:type="dxa"/>
          <w:bottom w:w="28" w:type="dxa"/>
          <w:right w:w="28" w:type="dxa"/>
        </w:tblCellMar>
      </w:tblPr>
      <w:tblGrid>
        <w:gridCol w:w="1255"/>
        <w:gridCol w:w="1102"/>
        <w:gridCol w:w="1107"/>
        <w:gridCol w:w="211"/>
        <w:gridCol w:w="796"/>
        <w:gridCol w:w="109"/>
        <w:gridCol w:w="109"/>
        <w:gridCol w:w="109"/>
        <w:gridCol w:w="109"/>
        <w:gridCol w:w="238"/>
        <w:gridCol w:w="899"/>
        <w:gridCol w:w="123"/>
        <w:gridCol w:w="109"/>
        <w:gridCol w:w="109"/>
        <w:gridCol w:w="109"/>
        <w:gridCol w:w="260"/>
        <w:gridCol w:w="854"/>
        <w:gridCol w:w="19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Contract Balances: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assets,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assets, net of current portion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 current portion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 net of current portion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assets (liabilities),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roll-forward of our netted contract assets and contract liabilities (in thousands):</w:t>
      </w:r>
    </w:p>
    <w:tbl>
      <w:tblPr>
        <w:tblW w:w="10205" w:type="dxa"/>
        <w:jc w:val="left"/>
        <w:tblInd w:w="0" w:type="dxa"/>
        <w:tblLayout w:type="fixed"/>
        <w:tblCellMar>
          <w:top w:w="28" w:type="dxa"/>
          <w:left w:w="28" w:type="dxa"/>
          <w:bottom w:w="28" w:type="dxa"/>
          <w:right w:w="28" w:type="dxa"/>
        </w:tblCellMar>
      </w:tblPr>
      <w:tblGrid>
        <w:gridCol w:w="2663"/>
        <w:gridCol w:w="2343"/>
        <w:gridCol w:w="2351"/>
        <w:gridCol w:w="516"/>
        <w:gridCol w:w="1951"/>
        <w:gridCol w:w="381"/>
      </w:tblGrid>
      <w:tr>
        <w:trPr/>
        <w:tc>
          <w:tcPr>
            <w:tcW w:w="266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7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 (Liabilities) Assets, Net</w:t>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recognized that were included in gross contract liabilities at December 31, 2025</w:t>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reclassified to accounts receivable in the six months ended June 30, 2026</w:t>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in advance and remained in net contract liabilities at June 30, 2026</w:t>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terminations in the six months ended June 30, 2026</w:t>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63"/>
        <w:gridCol w:w="2343"/>
        <w:gridCol w:w="2351"/>
        <w:gridCol w:w="601"/>
        <w:gridCol w:w="1801"/>
        <w:gridCol w:w="446"/>
      </w:tblGrid>
      <w:tr>
        <w:trPr/>
        <w:tc>
          <w:tcPr>
            <w:tcW w:w="266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7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 (Liabilities) Assets, Net</w:t>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recognized that were included in gross contract liabilities at December 31, 2024</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reclassified to accounts receivable in the six months ended June 30, 2025</w:t>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in advance and remained in net contract liabilities at June 30, 2025</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terminations in 2025</w:t>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Performance Obligations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unrecognized revenue attributable to unsatisfied and partially unsatisfied performance obligations under our long-term contracts was $324.5 million, of which $322.6 million related to trademark licensing, including minimum guaranteed royalties from licensed digital operations per the LMA, $1.7 million pertained to December 31, 2024 deferred revenue balances from our legacy digital subscriptions and products operations and $0.2 million related to direct-to-consumer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Unrecognized revenue of the trademark licensing revenue stream is expected to be recognized over the next 14 years, of which 47% is expected to be recognized in the first five years. Such unrecognized revenue does not include variable consideration determined based on the customer’s subsequent sale or usage. Unrecognized revenue of our prior digital subscriptions and products operations, which pertains to related deferred revenue balances as of December 31, 2024, will be recognized over the next four years, of which 59% is expected to be recognized in the first year.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revenue by type (in thousands):</w:t>
      </w:r>
    </w:p>
    <w:tbl>
      <w:tblPr>
        <w:tblW w:w="14571" w:type="dxa"/>
        <w:jc w:val="left"/>
        <w:tblInd w:w="0" w:type="dxa"/>
        <w:tblLayout w:type="fixed"/>
        <w:tblCellMar>
          <w:top w:w="28" w:type="dxa"/>
          <w:left w:w="28" w:type="dxa"/>
          <w:bottom w:w="28" w:type="dxa"/>
          <w:right w:w="28" w:type="dxa"/>
        </w:tblCellMar>
      </w:tblPr>
      <w:tblGrid>
        <w:gridCol w:w="520"/>
        <w:gridCol w:w="272"/>
        <w:gridCol w:w="274"/>
        <w:gridCol w:w="340"/>
        <w:gridCol w:w="1121"/>
        <w:gridCol w:w="190"/>
        <w:gridCol w:w="109"/>
        <w:gridCol w:w="109"/>
        <w:gridCol w:w="109"/>
        <w:gridCol w:w="196"/>
        <w:gridCol w:w="646"/>
        <w:gridCol w:w="109"/>
        <w:gridCol w:w="109"/>
        <w:gridCol w:w="109"/>
        <w:gridCol w:w="109"/>
        <w:gridCol w:w="243"/>
        <w:gridCol w:w="522"/>
        <w:gridCol w:w="136"/>
        <w:gridCol w:w="109"/>
        <w:gridCol w:w="109"/>
        <w:gridCol w:w="109"/>
        <w:gridCol w:w="196"/>
        <w:gridCol w:w="421"/>
        <w:gridCol w:w="109"/>
        <w:gridCol w:w="109"/>
        <w:gridCol w:w="109"/>
        <w:gridCol w:w="109"/>
        <w:gridCol w:w="196"/>
        <w:gridCol w:w="646"/>
        <w:gridCol w:w="109"/>
        <w:gridCol w:w="109"/>
        <w:gridCol w:w="109"/>
        <w:gridCol w:w="109"/>
        <w:gridCol w:w="340"/>
        <w:gridCol w:w="1121"/>
        <w:gridCol w:w="190"/>
        <w:gridCol w:w="109"/>
        <w:gridCol w:w="109"/>
        <w:gridCol w:w="109"/>
        <w:gridCol w:w="196"/>
        <w:gridCol w:w="646"/>
        <w:gridCol w:w="109"/>
        <w:gridCol w:w="109"/>
        <w:gridCol w:w="109"/>
        <w:gridCol w:w="109"/>
        <w:gridCol w:w="243"/>
        <w:gridCol w:w="522"/>
        <w:gridCol w:w="136"/>
        <w:gridCol w:w="109"/>
        <w:gridCol w:w="109"/>
        <w:gridCol w:w="109"/>
        <w:gridCol w:w="196"/>
        <w:gridCol w:w="421"/>
        <w:gridCol w:w="109"/>
        <w:gridCol w:w="109"/>
        <w:gridCol w:w="109"/>
        <w:gridCol w:w="109"/>
        <w:gridCol w:w="196"/>
        <w:gridCol w:w="646"/>
        <w:gridCol w:w="311"/>
      </w:tblGrid>
      <w:tr>
        <w:trPr/>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066" w:type="dxa"/>
            <w:gridSpan w:val="3"/>
            <w:tcBorders/>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products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19,487 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38,334 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38,578 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 licensing</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Digital subscriptions and products</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Events and sponsorships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19,487 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31,218 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38,334 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61,454 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tbl>
      <w:tblPr>
        <w:tblW w:w="14706" w:type="dxa"/>
        <w:jc w:val="left"/>
        <w:tblInd w:w="0" w:type="dxa"/>
        <w:tblLayout w:type="fixed"/>
        <w:tblCellMar>
          <w:top w:w="28" w:type="dxa"/>
          <w:left w:w="28" w:type="dxa"/>
          <w:bottom w:w="28" w:type="dxa"/>
          <w:right w:w="28" w:type="dxa"/>
        </w:tblCellMar>
      </w:tblPr>
      <w:tblGrid>
        <w:gridCol w:w="520"/>
        <w:gridCol w:w="272"/>
        <w:gridCol w:w="274"/>
        <w:gridCol w:w="340"/>
        <w:gridCol w:w="1121"/>
        <w:gridCol w:w="190"/>
        <w:gridCol w:w="109"/>
        <w:gridCol w:w="109"/>
        <w:gridCol w:w="109"/>
        <w:gridCol w:w="196"/>
        <w:gridCol w:w="646"/>
        <w:gridCol w:w="109"/>
        <w:gridCol w:w="109"/>
        <w:gridCol w:w="109"/>
        <w:gridCol w:w="109"/>
        <w:gridCol w:w="243"/>
        <w:gridCol w:w="522"/>
        <w:gridCol w:w="136"/>
        <w:gridCol w:w="109"/>
        <w:gridCol w:w="109"/>
        <w:gridCol w:w="109"/>
        <w:gridCol w:w="196"/>
        <w:gridCol w:w="421"/>
        <w:gridCol w:w="109"/>
        <w:gridCol w:w="109"/>
        <w:gridCol w:w="109"/>
        <w:gridCol w:w="109"/>
        <w:gridCol w:w="196"/>
        <w:gridCol w:w="646"/>
        <w:gridCol w:w="109"/>
        <w:gridCol w:w="109"/>
        <w:gridCol w:w="109"/>
        <w:gridCol w:w="109"/>
        <w:gridCol w:w="340"/>
        <w:gridCol w:w="1121"/>
        <w:gridCol w:w="190"/>
        <w:gridCol w:w="109"/>
        <w:gridCol w:w="109"/>
        <w:gridCol w:w="109"/>
        <w:gridCol w:w="196"/>
        <w:gridCol w:w="646"/>
        <w:gridCol w:w="109"/>
        <w:gridCol w:w="109"/>
        <w:gridCol w:w="109"/>
        <w:gridCol w:w="109"/>
        <w:gridCol w:w="243"/>
        <w:gridCol w:w="522"/>
        <w:gridCol w:w="136"/>
        <w:gridCol w:w="109"/>
        <w:gridCol w:w="109"/>
        <w:gridCol w:w="109"/>
        <w:gridCol w:w="196"/>
        <w:gridCol w:w="556"/>
        <w:gridCol w:w="109"/>
        <w:gridCol w:w="109"/>
        <w:gridCol w:w="109"/>
        <w:gridCol w:w="109"/>
        <w:gridCol w:w="196"/>
        <w:gridCol w:w="646"/>
        <w:gridCol w:w="311"/>
      </w:tblGrid>
      <w:tr>
        <w:trPr/>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066" w:type="dxa"/>
            <w:gridSpan w:val="3"/>
            <w:tcBorders/>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products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16,493 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16,503 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32,824 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32,867 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 licensing</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22,383 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Digital subscriptions and products</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Events and sponsorships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16,493 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28,148 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32,824 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22,383 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57,023 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revenue by point in time versus over time (in thousands):</w:t>
      </w:r>
    </w:p>
    <w:tbl>
      <w:tblPr>
        <w:tblW w:w="6878" w:type="dxa"/>
        <w:jc w:val="left"/>
        <w:tblInd w:w="0" w:type="dxa"/>
        <w:tblLayout w:type="fixed"/>
        <w:tblCellMar>
          <w:top w:w="28" w:type="dxa"/>
          <w:left w:w="28" w:type="dxa"/>
          <w:bottom w:w="28" w:type="dxa"/>
          <w:right w:w="28" w:type="dxa"/>
        </w:tblCellMar>
      </w:tblPr>
      <w:tblGrid>
        <w:gridCol w:w="478"/>
        <w:gridCol w:w="420"/>
        <w:gridCol w:w="422"/>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31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Point in time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33,149 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Over time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23,874 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31,218 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28,148 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57,023 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Inventory, Net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our inventory, net, was comprised of merchandise finished goods and is stated at the lower of cost (specific cost and first-in, first-out) and net realizable value. Reserves for slow-moving and obsolete inventory amounted to $3.6 million and $3.3 million as of June 30, 2026 and December 31, 2025, respectively.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5. Prepaid Expenses and Other Current Assets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2047"/>
        <w:gridCol w:w="1610"/>
        <w:gridCol w:w="1619"/>
        <w:gridCol w:w="412"/>
        <w:gridCol w:w="1205"/>
        <w:gridCol w:w="213"/>
        <w:gridCol w:w="213"/>
        <w:gridCol w:w="213"/>
        <w:gridCol w:w="213"/>
        <w:gridCol w:w="455"/>
        <w:gridCol w:w="1329"/>
        <w:gridCol w:w="676"/>
      </w:tblGrid>
      <w:tr>
        <w:trPr/>
        <w:tc>
          <w:tcPr>
            <w:tcW w:w="204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2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 portion</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Tenant improvement allowance</w:t>
            </w:r>
            <w:r>
              <w:rPr>
                <w:rFonts w:ascii="Times New Roman;serif" w:hAnsi="Times New Roman;serif"/>
                <w:b w:val="false"/>
                <w:color w:val="000000"/>
                <w:sz w:val="13"/>
              </w:rPr>
              <w:t xml:space="preserve">(1) </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inventory and production costs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taxes </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software </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fees and commissions </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76"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ableContents"/>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Represents a receivable for a tenant improvement allowance (the “TIA”) due from the landlord under a lease for our Miami Beach, Florida office space. Refer to Note 13, Commitments and Contingencies, for additional information. </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10205" w:type="dxa"/>
        <w:jc w:val="left"/>
        <w:tblInd w:w="0" w:type="dxa"/>
        <w:tblLayout w:type="fixed"/>
        <w:tblCellMar>
          <w:top w:w="28" w:type="dxa"/>
          <w:left w:w="28" w:type="dxa"/>
          <w:bottom w:w="28" w:type="dxa"/>
          <w:right w:w="28" w:type="dxa"/>
        </w:tblCellMar>
      </w:tblPr>
      <w:tblGrid>
        <w:gridCol w:w="1881"/>
        <w:gridCol w:w="1658"/>
        <w:gridCol w:w="1670"/>
        <w:gridCol w:w="417"/>
        <w:gridCol w:w="1217"/>
        <w:gridCol w:w="215"/>
        <w:gridCol w:w="215"/>
        <w:gridCol w:w="215"/>
        <w:gridCol w:w="215"/>
        <w:gridCol w:w="463"/>
        <w:gridCol w:w="1353"/>
        <w:gridCol w:w="686"/>
      </w:tblGrid>
      <w:tr>
        <w:trPr/>
        <w:tc>
          <w:tcPr>
            <w:tcW w:w="188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5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Software </w:t>
            </w:r>
            <w:r>
              <w:rPr>
                <w:rFonts w:ascii="Times New Roman;serif" w:hAnsi="Times New Roman;serif"/>
                <w:b w:val="false"/>
                <w:color w:val="000000"/>
                <w:sz w:val="13"/>
              </w:rPr>
              <w:t>(1)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9,559 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10,174 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68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22,382 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22,165 </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(18,256)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(17,938)</w:t>
            </w:r>
          </w:p>
        </w:tc>
        <w:tc>
          <w:tcPr>
            <w:tcW w:w="68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ableContents"/>
              <w:bidi w:val="0"/>
              <w:spacing w:lineRule="auto" w:line="276"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The net book value of our software was $0.9 million and $0.5 million as of June 30, 2026 and December 31, 2025, respectively, and primarily related to certain portions of our </w:t>
            </w:r>
            <w:r>
              <w:rPr>
                <w:rFonts w:ascii="Times New Roman;serif" w:hAnsi="Times New Roman;serif"/>
                <w:b w:val="false"/>
                <w:i/>
                <w:color w:val="000000"/>
                <w:sz w:val="20"/>
              </w:rPr>
              <w:t>playboy.com</w:t>
            </w:r>
            <w:r>
              <w:rPr>
                <w:color w:val="000000"/>
              </w:rPr>
              <w:t xml:space="preserve"> </w:t>
            </w:r>
            <w:r>
              <w:rPr>
                <w:rFonts w:ascii="Times New Roman;serif" w:hAnsi="Times New Roman;serif"/>
                <w:b w:val="false"/>
                <w:color w:val="000000"/>
                <w:sz w:val="20"/>
              </w:rPr>
              <w:t xml:space="preserve">site. </w:t>
            </w:r>
          </w:p>
        </w:tc>
      </w:tr>
    </w:tbl>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depreciation expense related to property and equipment, net was $0.4 million and $0.5 million for the three months ended June 30, 2026 and 2025, respectively, and $1.0 million and $0.9 million during the six months ended June 30,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Other Current Liabilities and Accrued Expenses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and accrued expenses consisted of the following (in thousands): </w:t>
      </w:r>
    </w:p>
    <w:tbl>
      <w:tblPr>
        <w:tblW w:w="10205" w:type="dxa"/>
        <w:jc w:val="left"/>
        <w:tblInd w:w="0" w:type="dxa"/>
        <w:tblLayout w:type="fixed"/>
        <w:tblCellMar>
          <w:top w:w="28" w:type="dxa"/>
          <w:left w:w="28" w:type="dxa"/>
          <w:bottom w:w="28" w:type="dxa"/>
          <w:right w:w="28" w:type="dxa"/>
        </w:tblCellMar>
      </w:tblPr>
      <w:tblGrid>
        <w:gridCol w:w="2116"/>
        <w:gridCol w:w="1671"/>
        <w:gridCol w:w="1703"/>
        <w:gridCol w:w="382"/>
        <w:gridCol w:w="1305"/>
        <w:gridCol w:w="197"/>
        <w:gridCol w:w="197"/>
        <w:gridCol w:w="197"/>
        <w:gridCol w:w="197"/>
        <w:gridCol w:w="433"/>
        <w:gridCol w:w="1486"/>
        <w:gridCol w:w="321"/>
      </w:tblGrid>
      <w:tr>
        <w:trPr/>
        <w:tc>
          <w:tcPr>
            <w:tcW w:w="211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wages and employee benefits</w:t>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agency fees and commissions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Byborg, net</w:t>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creator fees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in transit</w:t>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gift cards and store credits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Brand support advance payment from UTG</w:t>
            </w:r>
            <w:r>
              <w:rPr>
                <w:rFonts w:ascii="Times New Roman;serif" w:hAnsi="Times New Roman;serif"/>
                <w:b w:val="false"/>
                <w:color w:val="000000"/>
                <w:sz w:val="13"/>
              </w:rPr>
              <w:t>(1)</w:t>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31,780 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ableContents"/>
              <w:bidi w:val="0"/>
              <w:spacing w:lineRule="auto" w:line="240" w:before="6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Represents the unapplied portion of the advance payment received from UTG Brands Management Group Limited (“UTG”) under the Brand Support Services Agreement (“BSSA”). Refer to Note 9,Variable Interest Entity, for details. </w:t>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8</w:t>
      </w:r>
      <w:r>
        <w:rPr>
          <w:rFonts w:ascii="Times New Roman;serif" w:hAnsi="Times New Roman;serif"/>
          <w:b w:val="false"/>
          <w:color w:val="000000"/>
          <w:sz w:val="20"/>
        </w:rPr>
        <w:t xml:space="preserve">. </w:t>
      </w:r>
      <w:r>
        <w:rPr>
          <w:rFonts w:ascii="Times New Roman;serif" w:hAnsi="Times New Roman;serif"/>
          <w:b/>
          <w:color w:val="000000"/>
          <w:sz w:val="20"/>
        </w:rPr>
        <w:t>Debt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debt (in thousands):</w:t>
      </w:r>
    </w:p>
    <w:tbl>
      <w:tblPr>
        <w:tblW w:w="8807" w:type="dxa"/>
        <w:jc w:val="left"/>
        <w:tblInd w:w="0" w:type="dxa"/>
        <w:tblLayout w:type="fixed"/>
        <w:tblCellMar>
          <w:top w:w="28" w:type="dxa"/>
          <w:left w:w="28" w:type="dxa"/>
          <w:bottom w:w="28" w:type="dxa"/>
          <w:right w:w="28" w:type="dxa"/>
        </w:tblCellMar>
      </w:tblPr>
      <w:tblGrid>
        <w:gridCol w:w="2185"/>
        <w:gridCol w:w="1918"/>
        <w:gridCol w:w="1927"/>
        <w:gridCol w:w="211"/>
        <w:gridCol w:w="826"/>
        <w:gridCol w:w="109"/>
        <w:gridCol w:w="109"/>
        <w:gridCol w:w="109"/>
        <w:gridCol w:w="109"/>
        <w:gridCol w:w="231"/>
        <w:gridCol w:w="905"/>
        <w:gridCol w:w="168"/>
      </w:tblGrid>
      <w:tr>
        <w:trPr/>
        <w:tc>
          <w:tcPr>
            <w:tcW w:w="2185"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2028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capitalized payment-in-kind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unamortized debt premium,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debt issuance costs and debt premium,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172,645 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Refer to Note 9, Debt, within the notes to our audited consolidated financial statements set forth in our </w:t>
      </w:r>
      <w:hyperlink r:id="rId5">
        <w:r>
          <w:rPr>
            <w:rStyle w:val="InternetLink"/>
            <w:rFonts w:ascii="Times New Roman;serif" w:hAnsi="Times New Roman;serif"/>
            <w:b w:val="false"/>
            <w:color w:val="0000FF"/>
            <w:sz w:val="20"/>
            <w:u w:val="single"/>
          </w:rPr>
          <w:t>Annual Report on Form 10-K</w:t>
        </w:r>
      </w:hyperlink>
      <w:r>
        <w:rPr>
          <w:rFonts w:ascii="Times New Roman;serif" w:hAnsi="Times New Roman;serif"/>
          <w:b w:val="false"/>
          <w:color w:val="000000"/>
          <w:sz w:val="20"/>
        </w:rPr>
        <w:t>, filed with the SEC on March 16, 2026, for details regarding our A&amp;R Credit Agreement for periods prior to the second quarter of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2025, we entered into Amendment No. 5 to the A&amp;R Credit Agreement (the “A&amp;R Fifth Amendment”). The A&amp;R Fifth Amendment revised the definition of Consolidated EBITDA in the A&amp;R Credit Agreement to allow for $2.4 million of non-cash rent expense related to our Miami Beach office lease to be added back when calculating such Consolidated EBITDA for applicable periods. The other terms of the A&amp;R Credit Agreement prior to the A&amp;R Fifth Amendment remained substantively unchanged.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10, 2025, we entered into Amendment No. 6 to the A&amp;R Credit Agreement (the “A&amp;R Sixth Amendment”). The A&amp;R Sixth Amendment, among other things, (i) extended the maturity of the A&amp;R Credit Agreement to May 25, 2028, (ii) provided that the cash interest rate would be reduced by 0.15% or 0.50% in the event of certain prepayments of $25 million and $50 million, respectively (both of which did not occur), and (iii) provided that upon the first such prepayment made on the terms and conditions set forth in the A&amp;R Sixth Amendment, the total net leverage ratio would be set at 9.00:1.00 for the quarter ending June 30, 2026, and step down over time until the ratio reaches 7.25:1.00 for the quarter ending December 31, 2027 and any subsequent quarter. The other terms of the A&amp;R Credit Agreement prior to the A&amp;R Sixth Amendment remained substantively unchanged.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we entered into Amendment No. 7 to the A&amp;R Credit Agreement (the “A&amp;R Seventh Amendment”) to, substantially concurrently with New China JV Initial Closing, amend the terms of the A&amp;R Credit Agreement, to, among other things: (i) permit the New China JV transactions, (ii) permit the contribution of certain intellectual property from us to the New China JV at the second closing pursuant to the Purchase Agreement (as defined in Note 9), and (iii) provide for additional representations, covenants, and mandatory prepayments of our loans under the A&amp;R Credit Agreement (including the entire $45,000,000 Purchase Price and an additional $6.666 million from us). Refer to Note 9, Variable Interest Entity, below for definitions of capitalized terms used in, but not defined in, this paragraph.</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performed an assessment of the A&amp;R Seventh Amendment, on a lender-by-lender basis, and accounted for the transaction as a debt modification. As a result of the A&amp;R Seventh Amendment, fees of $0.3 million were expensed as incurred and recorded in Other income, net in the condensed consolidated statement of operations for the first quarter of 2026. Debt issuance costs capitalized as a result of the A&amp;R Seventh Amendment were $0.2 million.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entering into the Repurchase Agreement, defined and described in Note 10, Stockholders’ Equity, we also entered into Amendment No. 8 to the A&amp;R Credit Agreement (the “A&amp;R Eighth Amendment”) to obtain lender consent for the Repurchase Agreement and related transactions. Refer also to Note 17, Related Party Transactions, for additional details. The A&amp;R Eighth Amendment did not modify the pricing, maturity, or financial covenants of the A&amp;R Credit Agreement. Costs incurred in connection with the A&amp;R Eighth Amendment of approximately $0.1 million were recognized as other expense in our condensed consolidated statements of operations for the three months ended June 30, 2026.</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stated interest rate of each of Tranche A and Tranche B of the term loans under the A&amp;R Credit Agreement (the “A&amp;R Term Loans”) as of June 30, 2026 was 10.09%. The stated interest rate of each of Tranche A and Tranche B of the A&amp;R Term Loans as of December 31, 2025 was 10.08%. The effective interest rate of Tranche A and Tranche B of the A&amp;R Term Loans as of June 30, 2026 was 2.93% and 5.74%, respectively. The effective interest rate of Tranche A and Tranche B of the A&amp;R Term Loans as of December 31, 2025 was 3.88% and 6.34%, respectively.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applicable financial covenants under the terms of the A&amp;R Credit Agreement and its amendments as of June 30, 2026 and December 31,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maturities of the principal amount of our A&amp;R Term Loans as of June 30, 2026 (in thousands):</w:t>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9. Variable Interest Entity</w:t>
      </w:r>
    </w:p>
    <w:p>
      <w:pPr>
        <w:pStyle w:val="TextBody"/>
        <w:bidi w:val="0"/>
        <w:spacing w:lineRule="auto" w:line="26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we entered into a share purchase agreement (the “Purchase Agreement”) with UTG for a new joint venture for the Playboy licensing business in China (the “New China JV”), in which UTG is to ultimately own a 50% interest and operate Playboy’s China licensing business for an aggregate purchase price of $45,000,000 (the “Purchase Price”). Concurrent with the execution of the Purchase Agreement, UTG paid $9,000,000 to us as a signing deposit which was ultimately applied to the Purchase Price as of the New China JV Initial Closing (defined below).</w:t>
      </w:r>
    </w:p>
    <w:p>
      <w:pPr>
        <w:pStyle w:val="TextBody"/>
        <w:bidi w:val="0"/>
        <w:spacing w:lineRule="auto" w:line="26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20, 2026 (the “Initial Closing Date”), the initial closing pursuant to the Purchase Agreement (the “New China JV Initial Closing”) occurred, and the New China JV was established. On the Initial Closing Date, the New China JV issued and sold 1,333 class B ordinary shares of the New China JV (“Class B Shares”) to UTG for aggregate consideration of $11,997,000, which was concurrently distributed to us, and we sold and transferred to UTG 334 Class B Shares for aggregate consideration of $3,006,000, for total aggregate consideration to us at the New China JV Initial Closing of $15,003,000. At the second closing under the Purchase Agreement (to occur on or before January 4, 2027), we will sell and transfer to UTG 1,667 Class B Shares for aggregate consideration of $15,003,000, and, at the third closing under the Purchase Agreement (to occur on or before January 4, 2028), we will sell and transfer to UTG 1,666 Class B Shares for aggregate consideration of $14,994,000. The full proceeds from the initial, second, and third closings pursuant to the Purchase Agreement are being used for the repayment of debt. We repaid $15.0 million of our senior secured debt from Purchase Price proceeds in the first quarter of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Initial Closing Date and June 30, 2026, we owned 83.33% and UTG owned 16.67% of the New China JV. While we retain majority control of the New China JV, UTG manages all operational aspects of Playboy’s licensing business in China, Hong Kong and Macau.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and six months ended June 30, 2026, we incurred $0.1 million and $2.9 million, respectively, of transaction expenses in connection with the formation of the New China JV, including legal, advisory and other professional fees during the three and six months ended June 30, 2026. These costs are included in selling and administrative expenses in our condensed consolidated statements of operations for the three months and six months ended June 30, 2026. </w:t>
      </w:r>
    </w:p>
    <w:p>
      <w:pPr>
        <w:pStyle w:val="TextBody"/>
        <w:bidi w:val="0"/>
        <w:spacing w:lineRule="auto" w:line="26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New China JV Minimum Distributions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establishment of the New China JV, we are entitled to receive annual minimum distributions of $10,000,000 in 2026, $9,000,000 in 2027 and $8,000,000 in each year from 2028 through and including 2033, in each case, to be paid to us semi-annually. To the extent the New China JV does not have sufficient available cash or earnings to fund such distributions, UTG is contractually obligated to contribute the shortfall amount to the New China JV, which will then distribute such amount to us.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New China JV did not have sufficient earnings to fund the entire required dividend distribution due as of the Initial Closing Date, UTG was required to, and did, contribute $2.4 million to the New China JV (the “Noncontrolling Interest Capital Contribution”) pursuant to the terms of the shareholders agreement for the New China JV (the “JV Shareholders Agreement”). The Noncontrolling Interest Capital Contribution of $2.4 million was received from UTG in April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Brand Support Services Agreement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BSSA between UTG and us, UTG will pay us for brand support services up to an annual cap (the “Annual Cap”) of (i) $4,000,000 for services provided in the first contract year, (ii) $4,000,000 for services provided in the second contract year, and (iii) $2,000,000 for services provided in the third contract year.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During the first quarter of 2026, we received a $4.0 million advance payment from UTG representing the full Annual Cap for the first contract year under the BSSA. During the second quarter of 2026, we applied a portion of the advance against related brand expenses as they were incurred, recording $1.3 million</w:t>
      </w:r>
      <w:r>
        <w:rPr>
          <w:color w:val="000000"/>
        </w:rPr>
        <w:t xml:space="preserve"> </w:t>
      </w:r>
      <w:r>
        <w:rPr>
          <w:rFonts w:ascii="Times New Roman;serif" w:hAnsi="Times New Roman;serif"/>
          <w:b w:val="false"/>
          <w:color w:val="000000"/>
          <w:sz w:val="20"/>
        </w:rPr>
        <w:t>within cost of sales and $0.3 million within selling and administrative expenses in our condensed consolidated statements of operations for both the three and six months ended June 30, 2026. The remaining unapplied advance of $2.4 million was recorded in other current liabilities and accrued expenses on the condensed consolidated balance sheet as of June 30, 2026.</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China JV was determined to be a VIE, of which we are the primary beneficiary. As a result of such determination and in accordance with ASC 810, Consolidations, we consolidated the financial results of the New China JV from the Initial Closing Date. There was no New China JV income distribution to UTG in the first quarter of 2026 in conjunction with the terms of the JV Shareholders Agreement. The JV Shareholders Agreement requires UTG to absorb the initial risk of profits shortfalls, creating an economic reality that diverges from the parties’ stated legal ownership percentages. This creates a substantive profit-sharing arrangement where a simple pro-rata allocation of net income or loss would not faithfully depict the underlying economics. Therefore, we allocate net income or loss to the noncontrolling interest using the hypothetical liquidation at book value (the “HLBV”) method. Under the HLBV method, the amount of net income or loss attributable to the noncontrolling interest for each reporting period is determined as the change in the noncontrolling interest holder’s claim on the New China JV’s net assets from the beginning to the end of the period, after adjusting for capital activity and distributions, if any. This claim is calculated by assuming a hypothetical liquidation of the New China JV at its recorded book value as of each balance sheet date, with net assets distributed in accordance with the liquidation and distribution priorities specified in the agreements governing the New China JV.</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China JV’s distribution priorities entitled us to an initial preferential allocation of an aggregate of $67.0 million through 2033. Until such $67.0 million threshold is fully satisfied, no earnings or hypothetical liquidation proceeds are allocated to the noncontrolling interest. Consequently, in accordance with this distribution waterfall, no value was allocated to the noncontrolling interest for the three months and six months ended June 30,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maximum exposure to loss as a result of our involvement with the New China JV is limited to our investment in the VIE and any unfunded commitments, as UTG is obligated under the JV Shareholders Agreement to fund any shortfall in required minimum distributions. The assets of the New China JV can only be used to settle obligations of the New China JV, and the creditors of the New China JV generally have no recourse to the general credit of the Company.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amounts and classification of the consolidated assets and liabilities of the New China JV as of June 30, 2026, after elimination of intercompany balances (in thousands):</w:t>
      </w:r>
    </w:p>
    <w:p>
      <w:pPr>
        <w:pStyle w:val="TextBody"/>
        <w:bidi w:val="0"/>
        <w:spacing w:before="0" w:after="0"/>
        <w:ind w:left="0" w:right="0" w:firstLine="720"/>
        <w:jc w:val="both"/>
        <w:rPr/>
      </w:pPr>
      <w:r>
        <w:rPr/>
      </w:r>
    </w:p>
    <w:tbl>
      <w:tblPr>
        <w:tblW w:w="5223" w:type="dxa"/>
        <w:jc w:val="left"/>
        <w:tblInd w:w="0" w:type="dxa"/>
        <w:tblLayout w:type="fixed"/>
        <w:tblCellMar>
          <w:top w:w="28" w:type="dxa"/>
          <w:left w:w="28" w:type="dxa"/>
          <w:bottom w:w="28" w:type="dxa"/>
          <w:right w:w="28" w:type="dxa"/>
        </w:tblCellMar>
      </w:tblPr>
      <w:tblGrid>
        <w:gridCol w:w="1376"/>
        <w:gridCol w:w="1212"/>
        <w:gridCol w:w="1222"/>
        <w:gridCol w:w="109"/>
        <w:gridCol w:w="109"/>
        <w:gridCol w:w="109"/>
        <w:gridCol w:w="211"/>
        <w:gridCol w:w="721"/>
        <w:gridCol w:w="154"/>
      </w:tblGrid>
      <w:tr>
        <w:trPr/>
        <w:tc>
          <w:tcPr>
            <w:tcW w:w="137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holders of our common stock have one vote for each share of common stock. Common stockholders are entitled to dividends when, as, and if declared by our Board of Directors (the “Board”). As of June 30, 2026, no dividends had been declared by the Board.</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16, 2025, our stockholders authorized an increase in the number of authorized shares of common stock of the Company from 150,000,000 to 400,000,000. The increase in our authorized shares of common stock did not impact the number of our issued or outstanding shares of common stock. Our common stock reserved for future issuance consisted of the following as of the dates indicated:</w:t>
      </w:r>
    </w:p>
    <w:tbl>
      <w:tblPr>
        <w:tblW w:w="10205" w:type="dxa"/>
        <w:jc w:val="left"/>
        <w:tblInd w:w="0" w:type="dxa"/>
        <w:tblLayout w:type="fixed"/>
        <w:tblCellMar>
          <w:top w:w="28" w:type="dxa"/>
          <w:left w:w="28" w:type="dxa"/>
          <w:bottom w:w="28" w:type="dxa"/>
          <w:right w:w="28" w:type="dxa"/>
        </w:tblCellMar>
      </w:tblPr>
      <w:tblGrid>
        <w:gridCol w:w="2574"/>
        <w:gridCol w:w="2229"/>
        <w:gridCol w:w="2239"/>
        <w:gridCol w:w="540"/>
        <w:gridCol w:w="541"/>
        <w:gridCol w:w="255"/>
        <w:gridCol w:w="109"/>
        <w:gridCol w:w="109"/>
        <w:gridCol w:w="109"/>
        <w:gridCol w:w="488"/>
        <w:gridCol w:w="488"/>
        <w:gridCol w:w="524"/>
      </w:tblGrid>
      <w:tr>
        <w:trPr/>
        <w:tc>
          <w:tcPr>
            <w:tcW w:w="2574"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7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equity incentive plans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10,056,895 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1,160,627 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issued and outstanding under equity incentive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1,997,466 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1,997,466 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6,506,782 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4,121,525 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not yet settled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920,485 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2,002,582 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number of shares issuable to GlowUp sellers pursuant to acquisition indemnity holdback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249,116 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249,116 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19,730,744 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9,531,316 </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2026, we increased the availability under our previously registered and announced at-the-market offering (the “ATM”) to $200 million worth of our common stock. During the three months ended June 30, 2026, we sold a total of 2,051,498 shares under the ATM for net proceeds of $2.8 million, out of which 56,255 shares were issued in July 2026. During the six months ended June 30, 2026, we sold 3,441,249 shares of our common stock under the ATM for net proceeds of $5.3 million, of which $5.2 million was received during the six months ended June 30, 2026 and $0.1 million was received in July 2026. As of June 30, 2026, we had $194.4 million of remaining capacity under the ATM.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 from Our Primary Lender and Its Affiliates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18, 2026, we entered into a stock repurchase agreement (the “Repurchase Agreement”) with certain sellers, all of whom are affiliates of Fortress Investment Group (“Fortress”), to repurchase an aggregate of 16,589,531 shares of our common stock, for an aggregate purchase price of $17.4 million, payable in four installments through December 31, 2026. During the three months ended June 30, 2026, we repurchased 1,904,762 shares of common stock under the first installment for $2.0 million in cash. We are contractually obligated to settle the remaining installments in cash. Accordingly, a liability was established of $14.8 million at inception within other current liabilities on our condensed consolidated balance sheets, with a corresponding reduction to additional paid-in capital, measured at the present value of the remaining amount payable. The liability is accreted to its settlement amount over the term of the Repurchase Agreement, with the accretion recognized as interest expense. Direct costs of $0.2 million, which were primarily legal fees incurred in connection with the stock repurchase, were recorded as a reduction to additional paid-in capital in our condensed consolidated balance sheet as of June 30, 2026.</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Repurchase Agreement under ASC 480, Distinguishing Liabilities from Equity. The Repurchase Agreement is a freestanding financial instrument that obligates us to repurchase a fixed number of its own shares at a fixed price of $1.05 per share, with settlement required in cash. Accordingly, we classified the obligation to repurchase the shares remaining under the payment schedule as a liability in accordance with ASC 480-10-25-8, rather than as equity or as an off-balance-sheet commitment. Because both the amount payable and the settlement dates are fixed, the liability is measured at the present value of the amounts to be paid under the remaining installments and is subsequently accreted to its settlement amount through interest expense over the term of the agreement, using the interest rate implicit in the arrangement at inception, in accordance with ASC 480-10-35-3(a). The liability is not remeasured to fair value through earnings. The 1,904,762 shares repurchased and settled at the initial closing under the Repurchase Agreement were returned to the Company as treasury shares. In the event we do not satisfy the remaining repurchase obligations under the Repurchase Agreement, certain of our affiliated stockholders are obligated to satisfy such obligations pursuant to a backstop agreement.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in relation to the accretion of the repurchase liability under the Repurchase Agreement for the three months ended June 30, 2026 was immaterial. As of June 30, 2026, the carrying amount of the liability was $14.8 million, representing the present value of the remaining $15.4 million of contractually scheduled installment payments due through December 31, 2026 pursuant to the Repurchase Agreement. Refer to Note 17, Related Party Transactions, for additional 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11. Convertible Preferred Stock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authorized 5,000,000 shares of preferred stock, with a par value of $0.0001 per share. Of the 5,000,000 authorized preferred shares, 28,001 shares are designated as “Series B Convertible Preferred Stock”.</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On November 13, 2024, pursuant to the Exchange Agreement, we issued an aggregate of 28,000.00001 shares of the Series B Convertible Preferred Stock, as consideration in exchange for approximately $6.4 million of Tranche A A&amp;R Term Loans and approximately $58.9 million of Tranche B A&amp;R Term Loans under that certain A&amp;R Credit Agreement. For a more detailed summary of the terms of the Series B Convertible Preferred Stock, refer to Note 12, Preferred Stock, within the notes to our audited consolidated financial statements set forth in our </w:t>
      </w:r>
      <w:hyperlink r:id="rId6">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filed with the SEC on March 16, 2026.</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29, 2025, we completed the conversion of 7,000 shares of the 28,000.00001 outstanding shares of Series B Convertible Preferred Stock into 3,784,688 shares of our common stock, at a conversion price of $1.84956 per share (the “Conversion”), in accordance with the terms of the Series B Convertible Preferred Stock. As a result of the Conversion, we reduced the number of shares of Series B Convertible Preferred Stock outstanding to 21,000.00001 shares. Holders of the Series B Convertible Preferred Stock had their shares converted to common stock on a pro rata basis.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resulted in a $7.0 million reduction in the carrying amount of the Series B Convertible Preferred Stock, and we recognized $0.8 million and $2.3 million of accretion to the Series B Convertible Preferred Stock’s redemption value during the three and six months ended June 30, 2025, respectively, resulting in a $19.1 million mezzanine equity balance in our condensed consolidated balance sheet as of June 30,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22, 2025, we completed the conversion of all remaining 21,000.00001 outstanding shares of Series B Convertible Preferred Stock into 12,439,730 shares of our common stock, at a conversion price of $1.74448 per share (the “Second Conversion”), in accordance with the terms of the Series B Convertible Preferred Stock. As a result of the Second Conversion, we no longer had any shares of preferred stock issued or outstanding.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28,844,301 shares of our common stock had been authorized for issuance under our 2021 Equity and Incentive Compensation Plan, as amended to include an increase of 10,000,000 shares approved by our stockholders on June 16, 2026, and 5,606,175 shares of common stock were originally reserved for issuance under our 2018 Equity Incentive Plan.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stock option activity during the three months and six months ended June 30,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restricted stock unit (“RSU”) activity under our equity incentive plans is as follows:</w:t>
      </w:r>
    </w:p>
    <w:tbl>
      <w:tblPr>
        <w:tblW w:w="10205" w:type="dxa"/>
        <w:jc w:val="left"/>
        <w:tblInd w:w="0" w:type="dxa"/>
        <w:tblLayout w:type="fixed"/>
        <w:tblCellMar>
          <w:top w:w="28" w:type="dxa"/>
          <w:left w:w="28" w:type="dxa"/>
          <w:bottom w:w="28" w:type="dxa"/>
          <w:right w:w="28" w:type="dxa"/>
        </w:tblCellMar>
      </w:tblPr>
      <w:tblGrid>
        <w:gridCol w:w="1517"/>
        <w:gridCol w:w="1333"/>
        <w:gridCol w:w="1337"/>
        <w:gridCol w:w="564"/>
        <w:gridCol w:w="543"/>
        <w:gridCol w:w="520"/>
        <w:gridCol w:w="109"/>
        <w:gridCol w:w="109"/>
        <w:gridCol w:w="109"/>
        <w:gridCol w:w="974"/>
        <w:gridCol w:w="2367"/>
        <w:gridCol w:w="723"/>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balance at December 31, 2025</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4,121,525 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5,616,868 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(3,231,270)</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balance at June 30, 2026</w:t>
            </w:r>
          </w:p>
        </w:tc>
        <w:tc>
          <w:tcPr>
            <w:tcW w:w="11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6,506,782 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that vested during the three months ended June 30, 2026 and 2025 was approximately $5.0 million and $4.4 million, respectively, and approximately $5.2 million and $4.8 million during the six months ended June 30, 2026 and 2025, respectively. We had 920,485 and 2,276,061 outstanding and fully vested RSUs that remained unsettled at June 30, 2026 and 2025, respectively, all of which are expected to be settled in 2026 and were settled in 2025, respectively. As such, they were excluded from outstanding shares of common stock but were included in weighted-average shares outstanding for the calculation of net loss per share for the three and six months ended June 30, 2026 and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Performance Stock Unit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performance-based restricted stock unit (“PSU”) activity under our equity incentive plans during the three months and six months ended June 30,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under our equity incentive plans during the three months ended June 30, 2026 and 2025 was $2.5 million and $1.7 million, respectively, and $3.7 million and $2.4 million during the six months ended June 30, 2026 and 2025, respectively. All stock-based compensation expense was recorded in selling and administrative expenses in our condensed consolidated statements of operations for the three and six months ended June 30, 2026 and 2025. At June 30, 2026, there was no unrecognized stock-based compensation expense related to unvested stock options or PSUs, as all previously unvested and outstanding stock options and PSUs were fully vested as of June 30, 2026. At June 30, 2026, total unrecognized compensation cost related to unvested RSUs was $7.1 million and is expected to be recognized over the remaining weighted-average service period of 1.00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Lease cost associated with operating leases for the three and six months ended June 30, 2026 is included in the table below. Finance leases and their related costs for the three and six months ended June 30, 2026 and 2025 were immaterial.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11, 2025, through our wholly owned subsidiary, Playboy Enterprises, Inc., we entered into an operating lease (the “Lease”) with RK Rivani LLC (the “Landlord”) for approximately 20,169 square feet of office space in Miami Beach, Florida.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amended the Lease to change the lease commencement date to January 1, 2027 and the expiration date to November 30, 2037. As we did not take possession of the office space as of June 30, 2026, it is not reflected in our condensed consolidated financial statements or in the tables below. The future undiscounted fixed non-cancelable payment obligation pertaining to the Lease is approximately $25.0 million.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14, 2026, we entered into a new operating lease (the “Additional Lease”) with the Landlord for the remainder of the same floor as the Lease, comprising approximately 5,696 square feet, which commenced on May 1, 2026 and expires on November 30, 2037, subject to two five-year renewal options. In addition to base rent under the Additional Lease, we are responsible for operating expenses and property taxes. In connection with the Additional Lease, the Landlord agreed to provide a TIA of $1.6 million, which reduced the right-of-use asset recognized upon commencement of the Additional Lease and was recorded as a receivable within prepaid expenses and other current assets on our condensed consolidated balance sheet as of June 30, 2026. Refer to Note 5, Prepaid Expenses and Other Current Assets, for additional information. The future undiscounted lease payments under the Additional Lease are approximately $6.9 million.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terminated certain operating leases for Honey Birdette retail stores prior to their contractual expiration dates. Upon termination of such leases, we derecognized the related right-of-use assets and operating lease liabilities of $0.6 million in our condensed consolidated balance sheet as of June 30, 2026, and we recognized a net loss of $0.1 million in Other income, net in our condensed consolidated statements of operations for the three and six months ended June 30, 2026. </w:t>
      </w:r>
    </w:p>
    <w:p>
      <w:pPr>
        <w:pStyle w:val="TextBody"/>
        <w:bidi w:val="0"/>
        <w:spacing w:lineRule="auto" w:line="288" w:before="200" w:after="283"/>
        <w:ind w:left="0" w:right="0" w:firstLine="720"/>
        <w:jc w:val="both"/>
        <w:rPr/>
      </w:pPr>
      <w:r>
        <w:rPr>
          <w:rFonts w:ascii="Times New Roman;serif" w:hAnsi="Times New Roman;serif"/>
          <w:b w:val="false"/>
          <w:color w:val="000000"/>
          <w:sz w:val="20"/>
        </w:rPr>
        <w:t>As of June 30, 2026 and December 31, 2025, the weighted</w:t>
      </w:r>
      <w:r>
        <w:rPr>
          <w:rFonts w:ascii="Arial;sans-serif" w:hAnsi="Arial;sans-serif"/>
          <w:b w:val="false"/>
          <w:color w:val="000000"/>
          <w:sz w:val="20"/>
        </w:rPr>
        <w:t>-</w:t>
      </w:r>
      <w:r>
        <w:rPr>
          <w:rFonts w:ascii="Times New Roman;serif" w:hAnsi="Times New Roman;serif"/>
          <w:b w:val="false"/>
          <w:color w:val="000000"/>
          <w:sz w:val="20"/>
        </w:rPr>
        <w:t>average remaining term of our operating leases was 4.9 years and 3.9 years, respectively, and the weighted-average discount rate used to estimate the net present value of the operating lease liabilities was 9.1% and 8.2%, respectively. Cash payments for amounts included in the measurement of operating lease liabilities were $2.1 million for each of the three months ended June 30, 2026 and 2025, and $4.4 million and $4.1 million for the six months ended June 30, 2026 and 2025, respectively. Right-of-use assets obtained in exchange for new operating lease liabilities were $1.6 million and $0.6 million</w:t>
      </w:r>
      <w:r>
        <w:rPr>
          <w:color w:val="000000"/>
        </w:rPr>
        <w:t xml:space="preserve"> </w:t>
      </w:r>
      <w:r>
        <w:rPr>
          <w:rFonts w:ascii="Times New Roman;serif" w:hAnsi="Times New Roman;serif"/>
          <w:b w:val="false"/>
          <w:color w:val="000000"/>
          <w:sz w:val="20"/>
        </w:rPr>
        <w:t xml:space="preserve">during the three months ended June 30, 2026 and 2025, respectively, and $3.4 million and $0.6 million for the six months ended June 30, 2026 and 2025, respectively.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lease cost recognized in our condensed consolidated statements of operations is summarized in the table below (in thousands):</w:t>
      </w:r>
    </w:p>
    <w:tbl>
      <w:tblPr>
        <w:tblW w:w="6726"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31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our operating lease liabilities as of June 30, 2026 were as follows (in thousands):</w:t>
      </w:r>
    </w:p>
    <w:tbl>
      <w:tblPr>
        <w:tblW w:w="5068" w:type="dxa"/>
        <w:jc w:val="left"/>
        <w:tblInd w:w="0" w:type="dxa"/>
        <w:tblLayout w:type="fixed"/>
        <w:tblCellMar>
          <w:top w:w="28" w:type="dxa"/>
          <w:left w:w="28" w:type="dxa"/>
          <w:bottom w:w="28" w:type="dxa"/>
          <w:right w:w="28" w:type="dxa"/>
        </w:tblCellMar>
      </w:tblPr>
      <w:tblGrid>
        <w:gridCol w:w="1384"/>
        <w:gridCol w:w="1216"/>
        <w:gridCol w:w="1225"/>
        <w:gridCol w:w="211"/>
        <w:gridCol w:w="721"/>
        <w:gridCol w:w="311"/>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annual minimum lease payments that are contractually due to us from our sublease arrangements as of June 30, 2026 were as follows (in thousands):</w:t>
      </w:r>
    </w:p>
    <w:tbl>
      <w:tblPr>
        <w:tblW w:w="298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have certain contingent liabilities that arise in the ordinary course of our business activities. We accrue a liability for such matters when it is probable that future expenditures will be made and that such expenditures can be reasonably estimated. Significant judgment is required to determine both probability and the estimated amount.</w:t>
      </w:r>
    </w:p>
    <w:p>
      <w:pPr>
        <w:pStyle w:val="TextBody"/>
        <w:bidi w:val="0"/>
        <w:spacing w:lineRule="auto" w:line="288" w:before="20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AVS Case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2020, our subsidiary Playboy Enterprises International, Inc. (together with its subsidiaries, “PEII”) terminated its license agreement with a licensee, AVS Products, LLC (“AVS”), for AVS’s failure to make required payments to PEII under the agreement, following notice of breach and an opportunity to cure. On February 6, 2021, PEII received a letter from counsel to AVS alleging that the termination of the contract was improper, and that PEII failed to meet its contractual obligations, preventing AVS from fulfilling its obligations under the license agreement.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25, 2021, PEII brought suit against AVS in Los Angeles Superior Court to prevent further unauthorized sales of Playboy-branded products and for disgorgement of unlawfully obtained funds. On March 1, 2021, PEII also brought a claim in arbitration against AVS for outstanding and unpaid license fees. PEII and AVS subsequently agreed that the claims PEII brought in arbitration would be alleged in the Los Angeles Superior Court case instead, and on April 23, 2021, the parties entered into and filed a stipulation to that effect with the court. On May 18, 2021, AVS filed a demurrer, asking for the court to remove an individual defendant and dismiss PEII’s request for a permanent injunction. On June 10, 2021, the court denied AVS’s demurrer. AVS filed an opposition to PEII’s motion for a preliminary injunction to enjoin AVS from continuing to sell or market Playboy-branded products on July 2, 2021, which the court denied on July 28, 2021.</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2021, AVS filed a cross-complaint for breach of contract, breach of the implied covenant of good faith and fair dealing, quantum meruit and declaratory relief. As in its February 2021 letter, AVS alleges its license was wrongfully terminated and that PEII failed to approve AVS’ marketing efforts in a manner that was either timely or that was commensurate with industry practice. AVS is seeking to be excused from having to perform its obligations as a licensee, payment of the value for services rendered by AVS to PEII outside of the license, and damages to be proven at trial. The court heard PEII’s motion for summary judgment on June 6, 2023, and dismissed six out of 10 of AVS’ causes of action. AVS’ contract-related claims remain to be determined at trial, which is scheduled for March 8, 2027. In addition, PEII filed a complaint against Sunrise Brands based on their participation in AVS’s misconduct, as well as their own direct misconduct. Both cases have been related together by the court and will be tried together, for both pretrial and trial purposes. While the AVS case is a material litigation, we are currently unable to estimate the range of reasonably possible loss, if any, related to this matter. We believe AVS’ remaining claims and allegations are without merit, and we will defend this matter vigorously.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14. Severance Costs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Severance and related employee benefits costs incurred during the three and six months ended June 30, 2026 were immaterial. During the three and six months ended June 30, 2025, we incurred severance and related employee benefits costs of $0.3 million and $2.6 million, respectively, due to the reduction of headcount as we continued to shift our business to a more capital-light model, including the transition of our digital subscriptions and content operations into a licensing model. Severance costs are recorded in selling and administrative expenses in our condensed consolidated statements of operations, and in other current liabilities and accrued expenses in our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reconciliation of the beginning and ending severance costs balances recorded in other current liabilities and accrued expenses in our condensed consolidated balance sheets (in thousands): </w:t>
      </w:r>
    </w:p>
    <w:tbl>
      <w:tblPr>
        <w:tblW w:w="5715" w:type="dxa"/>
        <w:jc w:val="left"/>
        <w:tblInd w:w="0" w:type="dxa"/>
        <w:tblLayout w:type="fixed"/>
        <w:tblCellMar>
          <w:top w:w="28" w:type="dxa"/>
          <w:left w:w="28" w:type="dxa"/>
          <w:bottom w:w="28" w:type="dxa"/>
          <w:right w:w="28" w:type="dxa"/>
        </w:tblCellMar>
      </w:tblPr>
      <w:tblGrid>
        <w:gridCol w:w="1172"/>
        <w:gridCol w:w="1032"/>
        <w:gridCol w:w="1036"/>
        <w:gridCol w:w="627"/>
        <w:gridCol w:w="1388"/>
        <w:gridCol w:w="460"/>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 Separation Costs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and charged to expense</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paid or otherwise settled</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15. Income Taxes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For the three months ended June 30, 2026 and 2025, our provision for income taxes was an expense of $1.1 million</w:t>
      </w:r>
      <w:r>
        <w:rPr>
          <w:color w:val="000000"/>
        </w:rPr>
        <w:t xml:space="preserve"> </w:t>
      </w:r>
      <w:r>
        <w:rPr>
          <w:rFonts w:ascii="Times New Roman;serif" w:hAnsi="Times New Roman;serif"/>
          <w:b w:val="false"/>
          <w:color w:val="000000"/>
          <w:sz w:val="20"/>
        </w:rPr>
        <w:t>and $0.9 million, respectively, and $1.9 million</w:t>
      </w:r>
      <w:r>
        <w:rPr>
          <w:color w:val="000000"/>
        </w:rPr>
        <w:t xml:space="preserve"> </w:t>
      </w:r>
      <w:r>
        <w:rPr>
          <w:rFonts w:ascii="Times New Roman;serif" w:hAnsi="Times New Roman;serif"/>
          <w:b w:val="false"/>
          <w:color w:val="000000"/>
          <w:sz w:val="20"/>
        </w:rPr>
        <w:t xml:space="preserve">and $2.0 million for the six months ended June 30, 2026 and 2025, respectively. The effective tax rate for the three months ended June 30, 2026 and 2025 was 84.2% and (13.1)%, respectively, and (102.9)% and (13.5)%, for the six months ended June 30, 2026 and 2025, respectively. The effective tax rate for the three and six months ended June 30, 2026 differed from the U.S. statutory federal income tax rate of 21% primarily due to foreign withholding taxes and the release of valuation allowance due to a reduction in net deferred tax liabilities of indefinite lived intangibles. The effective tax rate for the three and six months ended June 30, 2025 differed from the U.S. statutory federal income tax rate of 21% primarily due to foreign withholding taxes and the release of valuation allowance due to a reduction in net deferred tax liabilities of indefinite lived intangibles.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of 2025 (the “2025 Tax Act”), enacted on July 4, 2025, made changes to U.S. corporate income taxes, including reinstating the option to claim the full amount of accelerated depreciation deductions on qualified property, with retroactive application beginning January 1, 2025, immediate expensing of domestic research and development costs, with retroactive application beginning January 1, 2025, and the calculation of the limitation for business interest using earnings before interest, taxes, depreciation and amortization, with retroactive application beginning January 1, 2025. We have evaluated such tax law changes to our consolidated financial position and results of operations for all applicable periods and concluded the 2025 Tax Act does not have a material impact on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16. Net Income (Loss) Per Share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basic and diluted net income per common share for the three months ended June 30, 2026 (in thousands, except per share amounts):</w:t>
      </w:r>
    </w:p>
    <w:tbl>
      <w:tblPr>
        <w:tblW w:w="6630" w:type="dxa"/>
        <w:jc w:val="left"/>
        <w:tblInd w:w="0" w:type="dxa"/>
        <w:tblLayout w:type="fixed"/>
        <w:tblCellMar>
          <w:top w:w="28" w:type="dxa"/>
          <w:left w:w="28" w:type="dxa"/>
          <w:bottom w:w="28" w:type="dxa"/>
          <w:right w:w="28" w:type="dxa"/>
        </w:tblCellMar>
      </w:tblPr>
      <w:tblGrid>
        <w:gridCol w:w="1701"/>
        <w:gridCol w:w="1503"/>
        <w:gridCol w:w="1506"/>
        <w:gridCol w:w="410"/>
        <w:gridCol w:w="906"/>
        <w:gridCol w:w="604"/>
      </w:tblGrid>
      <w:tr>
        <w:trPr/>
        <w:tc>
          <w:tcPr>
            <w:tcW w:w="170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and diluted</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 and diluted</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114,695,987 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 basic and diluted</w:t>
            </w:r>
          </w:p>
        </w:tc>
        <w:tc>
          <w:tcPr>
            <w:tcW w:w="41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 from Our Primary Lender and Its Affiliates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10, Stockholders’ Equity, we determined that our obligation to repurchase shares under the Repurchase Agreement is a liability under ASC 480, Distinguishing Liabilities from Equity. In accordance with ASC 480-10-45-4, all 16,589,531 shares subject to the Repurchase Agreement, including shares not yet repurchased and settled, have been excluded, on a weighted basis, from the weighted-average number of common shares outstanding used to compute basic and diluted income (loss) per share for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shares have been excluded from the calculation of diluted net loss per share due to their anti-dilutive effect:</w:t>
      </w:r>
    </w:p>
    <w:tbl>
      <w:tblPr>
        <w:tblW w:w="6320" w:type="dxa"/>
        <w:jc w:val="left"/>
        <w:tblInd w:w="0" w:type="dxa"/>
        <w:tblLayout w:type="fixed"/>
        <w:tblCellMar>
          <w:top w:w="28" w:type="dxa"/>
          <w:left w:w="28" w:type="dxa"/>
          <w:bottom w:w="28" w:type="dxa"/>
          <w:right w:w="28" w:type="dxa"/>
        </w:tblCellMar>
      </w:tblPr>
      <w:tblGrid>
        <w:gridCol w:w="943"/>
        <w:gridCol w:w="831"/>
        <w:gridCol w:w="836"/>
        <w:gridCol w:w="489"/>
        <w:gridCol w:w="487"/>
        <w:gridCol w:w="209"/>
        <w:gridCol w:w="209"/>
        <w:gridCol w:w="209"/>
        <w:gridCol w:w="209"/>
        <w:gridCol w:w="489"/>
        <w:gridCol w:w="487"/>
        <w:gridCol w:w="209"/>
        <w:gridCol w:w="209"/>
        <w:gridCol w:w="209"/>
        <w:gridCol w:w="295"/>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w:t>
              <w:br/>
              <w:t>June 30,</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1,997,466 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1,997,466 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6,506,782 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4,167,904 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8,504,248 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6,165,370 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17. Related Party Transactions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Transactions with Byborg</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5, 2024, The Million S.a.r.l (a subsidiary of Byborg) completed the purchase of 14,900,000 shares of our common stock and became a significant stockholder of the Company as of such date. Thus, both The Million S.a.r.l and Byborg, as well as their affiliates, are considered related parties of the Company.</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During the three and six months ended June 30, 2026 and 2025, we recognized $5.0 million and $10.0 million, respectively, of minimum guaranteed royalties as licensing revenue pursuant to the LMA. Operating expenses related to Playboy’s licensed digital businesses totaled $3.0 million and $6.8 million during the three and six months ended June 30, 2025, respectively, out of which $1.2 million and $5.0 million were recorded in our condensed consolidated statements of operations for the three and six months ended June 30, 2025, respectively. During the six months ended June 30, 2025, operating expenses of $1.8 million in excess of the $5.0 million of expenses to be covered by us were recorded as a reduction to the Payable to Byborg, net balance as of June 30, 2025, pursuant to the terms of our transition services agreement with Byborg (the “TSA”). As of June 30, 2026, the remittances payable to Byborg totaled $4.0 million. Remittances payable to Byborg pursuant to the LMA as of December 31, 2025 were $2.8 million, the majority of which was paid in the first quarter of 2026. Refer to Note 19, Related Party Transactions, within the notes to our audited consolidated financial statements set forth in our </w:t>
      </w:r>
      <w:hyperlink r:id="rId7">
        <w:r>
          <w:rPr>
            <w:rStyle w:val="InternetLink"/>
            <w:rFonts w:ascii="Times New Roman;serif" w:hAnsi="Times New Roman;serif"/>
            <w:b w:val="false"/>
            <w:color w:val="0000FF"/>
            <w:sz w:val="20"/>
            <w:u w:val="single"/>
          </w:rPr>
          <w:t>Annual Report on Form 10-K</w:t>
        </w:r>
      </w:hyperlink>
      <w:r>
        <w:rPr>
          <w:rFonts w:ascii="Times New Roman;serif" w:hAnsi="Times New Roman;serif"/>
          <w:b w:val="false"/>
          <w:color w:val="000000"/>
          <w:sz w:val="20"/>
        </w:rPr>
        <w:t>, filed with the SEC on March 16, 2026, for additional details regarding the TSA.</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Transactions with Our Primary Lender and Its Affiliates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29, 2025, we completed the conversion of 7,000 shares of the 28,000.00001 outstanding shares of our then-outstanding Series B Convertible Preferred Stock into 3,784,688 shares of our common stock, at a conversion price of $1.84956 per share in accordance with the terms of the Series B Convertible Preferred Stock. On August 22, 2025, we completed the conversion of all remaining 21,000.00001 outstanding shares of Series B Convertible Preferred Stock into 12,439,730 shares of our common stock, at a conversion price of $1.74448 per share, in accordance with the terms of the Series B Convertible Preferred Stock. As a result of such conversions, a total of 14,008,313 shares of common stock were issued to affiliates of our primary senior secured lender, and our primary senior secured lender and its affiliates became a related party of the Company. Refer to Note 11, Convertible Preferred Stock, for further information on our Series B Convertible Preferred Stock and its conversion resulting in the elimination of all outstanding shares of our Series B Convertible Preferred Stock as of August 22,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debt, net of unamortized debt issuance costs and debt premium, attributable to affiliates of our primary senior secured lender under the term loan described in Note 8, Debt, was $141.5 million and $158.0 million as of June 30, 2026 and December 31, 2025, respectively, out of which $141.5 million and $156.6 million was classified as noncurrent as of June 30, 2026 and December 31, 2025, respectively. Accrued interest attributable to affiliates of our primary senior secured lender is included in other current liabilities and accrued expenses in our condensed consolidated balance sheets as of June 30, 2026 and December 31, 2025 was $0.3 million and $0.4 million, respectively. The interest expense attributable to affiliates of our primary senior secured lender for the three and six months ended June 30, 2026 was $2.0 million and $4.3 million, respectively.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2026, we entered into the Repurchase Agreement with certain affiliates of our primary lender, pursuant to which we agreed to repurchase an aggregate of 16,589,531 shares of our common stock for an aggregate purchase price of $17.4 million, payable in four installments through December 31, 2026. During the three months ended June 30, 2026, we repurchased 1,904,762 shares of common stock under the first installment for $2.0 million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liability of $14.8 million, representing the present value of the remaining installment obligations, was recorded within other current liabilities in our condensed consolidated balance sheet as of June 30, 2026. We also incurred $0.2 million of legal fees in connection with the Repurchase Agreement, which were recorded as a reduction of additional paid-in capital in our condensed consolidated balance sheet as of June 30, 2026. Upon completion of all installment purchases, the affiliates of our primary lender that are party to the Repurchase Agreement are expected to no longer be affiliates of the Company or significant holders of our common stock. Refer to Note 10, Stockholders’ Equity, for further information about the Repurchase Agreement.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Transactions with Significant Stockholders / Director Affiliates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Repurchase Agreement, on June 18, 2026, we entered into a backstop agreement (the “Backstop Agreement”) with Rizvi Master LLC, an affiliate of Rizvi Traverse Management, LLC and our director Suhail Rizvi, and The Million S.à.r.l., an affiliate of Byborg and our director György Gattyán (collectively, the “Backstop Purchasers”). Each of these parties is a significant stockholder of the Company, holding greater than 10% of our outstanding common stock, and each is an affiliate of a member of the Company’s board of directors. Accordingly, the Backstop Agreement constitutes a related party transaction.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Backstop Agreement, the Backstop Purchasers are obligated, on a several and pro rata basis according to their respective percentage obligations (55.4946% for Rizvi Master LLC and 44.5054% for The Million S.à.r.l.), to purchase directly from the sellers, on the same terms and at the same fixed price of $1.05 per share, any shares that we do not purchase under the scheduled installments of the Repurchase Agreement. The backstop commitment excludes the $2.0 million installment paid by us at the initial closing under the Repurchase Agreement and terminates upon the earlier of satisfaction of the commitment, termination of the Repurchase Agreement, or twelve months from the date of the Backstop Agreement. Each Backstop Purchaser’s participation is subject to a beneficial ownership cap of 29.99% of our outstanding common stock. As consideration for the backstop commitment, we are obligated to pay the backstop purchasers a fee equal to 5.0% of the committed amount that is not used to purchase shares, payable in shares of common stock (valued based on the volume-weighted average price for the five trading days preceding the date of the Backstop Agreement) or, if such share settlement would cause a backstop purchaser to exceed the ownership cap, in cash. We have concluded that the backstop fee represents a direct and incremental cost of reacquiring our own shares and is accrued as a reduction to additional paid-in capital as the related shares are repurchased. No backstop fee was earned or accrued as of June 30, 2026, as no backstop purchases had occurred and only the excluded closing installment had been funded by us.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Transactions with UTG</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UTG is considered a related party of the Company as the noncontrolling interest holder in the New China JV, which is a consolidated variable interest entity of the Company, and as the operator of all aspects of our Playboy licensing business in China, Hong Kong and Macau. Refer to Note 9, Variable Interest Entity, for additional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18. Segments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two reportable segments: Direct-to-Consumer and Licensing. The Direct-to-Consumer segment derives revenue from sales of consumer products sold directly to customers online or at brick-and-mortar stores through our lingerie business, Honey Birdette, with 48 stores in three countries as of June 30, 2026. The Licensing segment derives revenue from trademark licenses for third-party consumer products and location-based entertainment businesses, minimum guaranteed royalties from licensing certain intellectual property and the operation of our Playboy Plus, Playboy TV (online and linear) and Playboy Club digital businesses to Byborg pursuant to the LMA.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 Other” column for the three and six months ended June 30, 2026 includes amortization of deferred revenue balances related to the previously reported digital subscriptions and content operations that existed as of December 31, 2024 (prior to the LMA effective date of January 1, 2025), which will be recognized over the next four years.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 Other” column for the three and six months ended June 30, 2025 includes amortization of deferred revenue balances related to our previously reported digital subscriptions and content operations that existed as of December 31, 2024 (prior to the LMA effective date of January 1, 2025), the write-off of certain previously capitalized content expenses and transition expenses incurred pursuant to the TSA.</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Revenues and expenses associated with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magazine, sales of access to our </w:t>
      </w:r>
      <w:r>
        <w:rPr>
          <w:rFonts w:ascii="Times New Roman;serif" w:hAnsi="Times New Roman;serif"/>
          <w:b w:val="false"/>
          <w:i/>
          <w:color w:val="000000"/>
          <w:sz w:val="20"/>
        </w:rPr>
        <w:t xml:space="preserve">iPlayboy </w:t>
      </w:r>
      <w:r>
        <w:rPr>
          <w:rFonts w:ascii="Times New Roman;serif" w:hAnsi="Times New Roman;serif"/>
          <w:b w:val="false"/>
          <w:color w:val="000000"/>
          <w:sz w:val="20"/>
        </w:rPr>
        <w:t>archives and events and sponsorships were not allocated to segments for the three months ended June 30, 2026 and 2025, and were instead presented in our corporate revenue and expense allocations as activities associated with brand marketing and awareness.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Our Chief Executive Officer is our Chief Operating Decision Maker (“CODM”). Segment information is presented in the same manner that our CODM reviews the operating results in assessing performance and allocating resources. Consolidated operating loss is the measure of segment operating loss most consistent with GAAP that is regularly reviewed by our CODM. Total asset information is not included in the tables below as it is not provided to and reviewed by our CODM. The “All Other” operations are no longer reviewed by our CODM due to their transition into a licensing model pursuant to the LMA. The “Corporate” line item in the tables below includes operating revenues and expenses that are not allocated to the reportable segments presented to our CODM. These revenues are associated with brand marketing and awareness, and include payments from subscribers for access to our </w:t>
      </w:r>
      <w:r>
        <w:rPr>
          <w:rFonts w:ascii="Times New Roman;serif" w:hAnsi="Times New Roman;serif"/>
          <w:b w:val="false"/>
          <w:i/>
          <w:color w:val="000000"/>
          <w:sz w:val="20"/>
        </w:rPr>
        <w:t xml:space="preserve">iPlayboy </w:t>
      </w:r>
      <w:r>
        <w:rPr>
          <w:rFonts w:ascii="Times New Roman;serif" w:hAnsi="Times New Roman;serif"/>
          <w:b w:val="false"/>
          <w:color w:val="000000"/>
          <w:sz w:val="20"/>
        </w:rPr>
        <w:t xml:space="preserve">archives, revenues from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magazine and events and sponsorships. Corporate expenses include legal, human resources, information technology and facilities, accounting/finance and brand marketing costs. Expenses associated with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magazine, events and sponsorships are included in brand marketing costs. The accounting policies of the reportable segments are the same as those described in Note 1, Basis of Presentation and Summary of Significant Accounting Policies.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financial information by reportable segment and attributable to corporate and certain other activities (in thousands):</w:t>
      </w:r>
    </w:p>
    <w:tbl>
      <w:tblPr>
        <w:tblW w:w="14166" w:type="dxa"/>
        <w:jc w:val="left"/>
        <w:tblInd w:w="0" w:type="dxa"/>
        <w:tblLayout w:type="fixed"/>
        <w:tblCellMar>
          <w:top w:w="28" w:type="dxa"/>
          <w:left w:w="28" w:type="dxa"/>
          <w:bottom w:w="28" w:type="dxa"/>
          <w:right w:w="28" w:type="dxa"/>
        </w:tblCellMar>
      </w:tblPr>
      <w:tblGrid>
        <w:gridCol w:w="545"/>
        <w:gridCol w:w="266"/>
        <w:gridCol w:w="240"/>
        <w:gridCol w:w="550"/>
        <w:gridCol w:w="550"/>
        <w:gridCol w:w="551"/>
        <w:gridCol w:w="109"/>
        <w:gridCol w:w="109"/>
        <w:gridCol w:w="109"/>
        <w:gridCol w:w="323"/>
        <w:gridCol w:w="323"/>
        <w:gridCol w:w="281"/>
        <w:gridCol w:w="109"/>
        <w:gridCol w:w="109"/>
        <w:gridCol w:w="109"/>
        <w:gridCol w:w="300"/>
        <w:gridCol w:w="300"/>
        <w:gridCol w:w="301"/>
        <w:gridCol w:w="109"/>
        <w:gridCol w:w="109"/>
        <w:gridCol w:w="109"/>
        <w:gridCol w:w="236"/>
        <w:gridCol w:w="185"/>
        <w:gridCol w:w="186"/>
        <w:gridCol w:w="109"/>
        <w:gridCol w:w="109"/>
        <w:gridCol w:w="109"/>
        <w:gridCol w:w="196"/>
        <w:gridCol w:w="556"/>
        <w:gridCol w:w="109"/>
        <w:gridCol w:w="109"/>
        <w:gridCol w:w="109"/>
        <w:gridCol w:w="109"/>
        <w:gridCol w:w="340"/>
        <w:gridCol w:w="1121"/>
        <w:gridCol w:w="190"/>
        <w:gridCol w:w="109"/>
        <w:gridCol w:w="109"/>
        <w:gridCol w:w="109"/>
        <w:gridCol w:w="196"/>
        <w:gridCol w:w="646"/>
        <w:gridCol w:w="109"/>
        <w:gridCol w:w="109"/>
        <w:gridCol w:w="109"/>
        <w:gridCol w:w="109"/>
        <w:gridCol w:w="243"/>
        <w:gridCol w:w="522"/>
        <w:gridCol w:w="136"/>
        <w:gridCol w:w="109"/>
        <w:gridCol w:w="109"/>
        <w:gridCol w:w="109"/>
        <w:gridCol w:w="196"/>
        <w:gridCol w:w="421"/>
        <w:gridCol w:w="109"/>
        <w:gridCol w:w="109"/>
        <w:gridCol w:w="109"/>
        <w:gridCol w:w="109"/>
        <w:gridCol w:w="196"/>
        <w:gridCol w:w="646"/>
        <w:gridCol w:w="154"/>
      </w:tblGrid>
      <w:tr>
        <w:trPr/>
        <w:tc>
          <w:tcPr>
            <w:tcW w:w="5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5"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All Other</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sales</w:t>
            </w:r>
            <w:r>
              <w:rPr>
                <w:rFonts w:ascii="Times New Roman;serif" w:hAnsi="Times New Roman;serif"/>
                <w:b w:val="false"/>
                <w:color w:val="000000"/>
                <w:sz w:val="12"/>
              </w:rPr>
              <w:t xml:space="preserve">(1)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Transaction expenses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 xml:space="preserve">(3)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net</w:t>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66" w:type="dxa"/>
            <w:gridSpan w:val="60"/>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ableContents"/>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(1) Direct-to-consumer cost of sales includes an immaterial amount of personnel and rent for the three months ended June 30, 2026 and 2025.</w:t>
            </w:r>
          </w:p>
        </w:tc>
      </w:tr>
      <w:tr>
        <w:trPr/>
        <w:tc>
          <w:tcPr>
            <w:tcW w:w="14166" w:type="dxa"/>
            <w:gridSpan w:val="60"/>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(2) For the three months ended June 30, 2025, transition expenses associated with the digital businesses licensed to Byborg, which we were responsible for during the transition period pursuant to the TSA, were $1.2 million, with $0.4 million recorded as cost of sales and $0.8 million recorded as selling and administrative expenses in the condensed consolidated statements of operations for the three months ended June 30, 2025.</w:t>
            </w:r>
          </w:p>
        </w:tc>
      </w:tr>
      <w:tr>
        <w:trPr/>
        <w:tc>
          <w:tcPr>
            <w:tcW w:w="14166" w:type="dxa"/>
            <w:gridSpan w:val="60"/>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(3) Includes intercompany management fee expense allocations of $2.5 million and $0.9 million from our direct-to-consumer segment to our corporate segment, which eliminate upon consolidation, for the three months ended June 30, 2026 and 2025, respectively.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before="200" w:after="283"/>
        <w:jc w:val="both"/>
        <w:rPr/>
      </w:pPr>
      <w:r>
        <w:rPr/>
      </w:r>
    </w:p>
    <w:tbl>
      <w:tblPr>
        <w:tblW w:w="14392" w:type="dxa"/>
        <w:jc w:val="left"/>
        <w:tblInd w:w="0" w:type="dxa"/>
        <w:tblLayout w:type="fixed"/>
        <w:tblCellMar>
          <w:top w:w="28" w:type="dxa"/>
          <w:left w:w="28" w:type="dxa"/>
          <w:bottom w:w="28" w:type="dxa"/>
          <w:right w:w="28" w:type="dxa"/>
        </w:tblCellMar>
      </w:tblPr>
      <w:tblGrid>
        <w:gridCol w:w="545"/>
        <w:gridCol w:w="266"/>
        <w:gridCol w:w="240"/>
        <w:gridCol w:w="550"/>
        <w:gridCol w:w="550"/>
        <w:gridCol w:w="551"/>
        <w:gridCol w:w="109"/>
        <w:gridCol w:w="109"/>
        <w:gridCol w:w="109"/>
        <w:gridCol w:w="323"/>
        <w:gridCol w:w="323"/>
        <w:gridCol w:w="281"/>
        <w:gridCol w:w="109"/>
        <w:gridCol w:w="109"/>
        <w:gridCol w:w="109"/>
        <w:gridCol w:w="330"/>
        <w:gridCol w:w="331"/>
        <w:gridCol w:w="301"/>
        <w:gridCol w:w="109"/>
        <w:gridCol w:w="109"/>
        <w:gridCol w:w="109"/>
        <w:gridCol w:w="236"/>
        <w:gridCol w:w="185"/>
        <w:gridCol w:w="186"/>
        <w:gridCol w:w="109"/>
        <w:gridCol w:w="109"/>
        <w:gridCol w:w="109"/>
        <w:gridCol w:w="196"/>
        <w:gridCol w:w="571"/>
        <w:gridCol w:w="109"/>
        <w:gridCol w:w="109"/>
        <w:gridCol w:w="109"/>
        <w:gridCol w:w="109"/>
        <w:gridCol w:w="340"/>
        <w:gridCol w:w="1121"/>
        <w:gridCol w:w="190"/>
        <w:gridCol w:w="109"/>
        <w:gridCol w:w="109"/>
        <w:gridCol w:w="109"/>
        <w:gridCol w:w="196"/>
        <w:gridCol w:w="646"/>
        <w:gridCol w:w="109"/>
        <w:gridCol w:w="109"/>
        <w:gridCol w:w="109"/>
        <w:gridCol w:w="109"/>
        <w:gridCol w:w="243"/>
        <w:gridCol w:w="522"/>
        <w:gridCol w:w="136"/>
        <w:gridCol w:w="109"/>
        <w:gridCol w:w="109"/>
        <w:gridCol w:w="109"/>
        <w:gridCol w:w="196"/>
        <w:gridCol w:w="556"/>
        <w:gridCol w:w="109"/>
        <w:gridCol w:w="109"/>
        <w:gridCol w:w="109"/>
        <w:gridCol w:w="109"/>
        <w:gridCol w:w="196"/>
        <w:gridCol w:w="661"/>
        <w:gridCol w:w="154"/>
      </w:tblGrid>
      <w:tr>
        <w:trPr/>
        <w:tc>
          <w:tcPr>
            <w:tcW w:w="5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All Other</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38,334 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sales</w:t>
            </w:r>
            <w:r>
              <w:rPr>
                <w:rFonts w:ascii="Times New Roman;serif" w:hAnsi="Times New Roman;serif"/>
                <w:b w:val="false"/>
                <w:color w:val="000000"/>
                <w:sz w:val="12"/>
              </w:rPr>
              <w:t xml:space="preserve">(1)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23,473 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 xml:space="preserve">(3)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(loss) </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net</w:t>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92" w:type="dxa"/>
            <w:gridSpan w:val="60"/>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ableContents"/>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(1) Direct-to-consumer cost of sales includes an immaterial amount of personnel and rent for the six months ended June 30, 2026 and 2025.</w:t>
            </w:r>
          </w:p>
        </w:tc>
      </w:tr>
      <w:tr>
        <w:trPr/>
        <w:tc>
          <w:tcPr>
            <w:tcW w:w="14392" w:type="dxa"/>
            <w:gridSpan w:val="60"/>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(2) For the six months ended June 30, 2025, transition expenses associated with the digital businesses licensed to Byborg, which we were responsible for during the transition period pursuant to the TSA, reached the $5.0 million threshold of expenses payable by us, with $1.7 million recorded as cost of sales and $3.3 million recorded as selling and administrative expenses in our condensed consolidated statements of operations for the six months ended June 30, 2025.</w:t>
            </w:r>
          </w:p>
        </w:tc>
      </w:tr>
      <w:tr>
        <w:trPr/>
        <w:tc>
          <w:tcPr>
            <w:tcW w:w="14392" w:type="dxa"/>
            <w:gridSpan w:val="60"/>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18"/>
              </w:rPr>
            </w:pPr>
            <w:r>
              <w:rPr>
                <w:rFonts w:ascii="Times New Roman;serif" w:hAnsi="Times New Roman;serif"/>
                <w:b w:val="false"/>
                <w:color w:val="000000"/>
                <w:sz w:val="18"/>
              </w:rPr>
              <w:t>(3) Includes intercompany management fee expense allocations of $2.1 million and $1.8 million from our direct-to-consumer segment to our corporate segment, which eliminate upon consolidation, for the six months ended June 30, 2026 and 2025.</w:t>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segment items for the three and six months ended June 30, 2026 and 2025 were primarily comprised of the following:</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Direct-to-Consumer:</w:t>
      </w:r>
      <w:r>
        <w:rPr>
          <w:color w:val="000000"/>
        </w:rPr>
        <w:t xml:space="preserve"> </w:t>
      </w:r>
      <w:r>
        <w:rPr>
          <w:rFonts w:ascii="Times New Roman;serif" w:hAnsi="Times New Roman;serif"/>
          <w:b w:val="false"/>
          <w:color w:val="000000"/>
          <w:sz w:val="20"/>
        </w:rPr>
        <w:t>outside consulting and legal fees, as well as technology and equipment expenses.</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Licensing: </w:t>
      </w:r>
      <w:r>
        <w:rPr>
          <w:rFonts w:ascii="Times New Roman;serif" w:hAnsi="Times New Roman;serif"/>
          <w:b w:val="false"/>
          <w:color w:val="000000"/>
          <w:sz w:val="20"/>
        </w:rPr>
        <w:t xml:space="preserve">expenses that were attributable to our former China joint venture (for the 2025 period only), outside consulting expenses and legal fees. </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Corporate: </w:t>
      </w:r>
      <w:r>
        <w:rPr>
          <w:rFonts w:ascii="Times New Roman;serif" w:hAnsi="Times New Roman;serif"/>
          <w:b w:val="false"/>
          <w:color w:val="000000"/>
          <w:sz w:val="20"/>
        </w:rPr>
        <w:t xml:space="preserve">outside consulting expenses, audit, tax, and legal fees, information technology and software costs, insurance expense, as well as net changes in the fair value of contingent consideration and other miscellaneous corporate operating costs.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year comparative periods also include non-cash impairment charges related to our corporate leases and artwork held for sale, which did not recur during the three and six months ended June 30, 2026. For the three months ended June 30, 2025, we recorded $1.5 million of impairment charges on our right-of-use assets related to our corporate leases. For the six months ended June 30, 2025, we recorded $1.8 million of impairment charges, comprised of the $1.5 million right-of-use asset impairment recognized in the second quarter of 2025 and $0.3 million of impairment charges on our artwork held for sale recognized in the first quarter of 2025.</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All Other: </w:t>
      </w:r>
      <w:r>
        <w:rPr>
          <w:rFonts w:ascii="Times New Roman;serif" w:hAnsi="Times New Roman;serif"/>
          <w:b w:val="false"/>
          <w:color w:val="000000"/>
          <w:sz w:val="20"/>
        </w:rPr>
        <w:t xml:space="preserve">these only apply to the 2025 period and included outside consulting expenses, as well as technology and equipment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200" w:after="283"/>
        <w:jc w:val="both"/>
        <w:rPr/>
      </w:pPr>
      <w:hyperlink w:anchor="ic2a00e3edcf249fcacf86dc85564e999_7">
        <w:r>
          <w:rPr>
            <w:rStyle w:val="InternetLink"/>
            <w:rFonts w:ascii="Times New Roman;serif" w:hAnsi="Times New Roman;serif"/>
            <w:b w:val="false"/>
            <w:color w:val="0E32E1"/>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geography is based on where the customer is located. The following table sets forth revenue by geographic area (in thousands):</w:t>
      </w:r>
    </w:p>
    <w:tbl>
      <w:tblPr>
        <w:tblW w:w="6831" w:type="dxa"/>
        <w:jc w:val="left"/>
        <w:tblInd w:w="0" w:type="dxa"/>
        <w:tblLayout w:type="fixed"/>
        <w:tblCellMar>
          <w:top w:w="28" w:type="dxa"/>
          <w:left w:w="28" w:type="dxa"/>
          <w:bottom w:w="28" w:type="dxa"/>
          <w:right w:w="28" w:type="dxa"/>
        </w:tblCellMar>
      </w:tblPr>
      <w:tblGrid>
        <w:gridCol w:w="537"/>
        <w:gridCol w:w="472"/>
        <w:gridCol w:w="47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311"/>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Luxembourg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China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before="0" w:after="0"/>
        <w:jc w:val="left"/>
        <w:rPr/>
      </w:pPr>
      <w:r>
        <w:rPr/>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2026, pursuant to the terms of a 2021 merger agreement for the acquisition of GlowUp Digital Inc. (the “GlowUp Agreement”), we released an aggregate of 249,116 shares of our common stock (based on a price of $23.4624 per share, per the terms of the GlowUp Agreement) to the holders of GlowUp’s equity securities that were accredited investors, which shares were a portion of the acquisition consideration that we held back to cover potential indemnification obligations of such investors. As no indemnification obligations were required to be covered by such holdback, the entirety of the holdback was released. No additional transaction proceeds were paid to us in connection with the release of the acquisition consideration holdback. Related to such indemnity holdback release, we also paid a total of $0.2 million to former investors in GlowUp which were not accredited investors.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the GlowUp indemnity holdback has been released in full, and no further consideration remains payable in connection with the GlowUp acquisition. Refer to Note 2, Fair Value Measurements,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rPr>
        <w:t xml:space="preserve">You should read the following discussion of our financial condition and results of operations in conjunction with our unaudited interim condensed consolidated financial statements as of and for the three and six months ended June 30, 2026 and 2025 and the related notes thereto included in Part I, Item 1 of this Quarterly Report on Form 10-Q, our audited consolidated financial statements as of and for the years ended December 31, 2025 and 2024 and the related notes thereto included in our </w:t>
      </w:r>
      <w:hyperlink r:id="rId8">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filed with the SEC on March 16, 2026. This discussion contains forward-looking statements that involve risks and uncertainties and that are not historical facts, including statements about our beliefs and expectations. Our actual results could differ materially from those anticipated in these forward-looking statements as a result of various factors, including those discussed below and particularly under the headings “Risk Factors”, “Business” and “Cautionary Note Regarding Forward-Looking Statements” contained in our</w:t>
      </w:r>
      <w:hyperlink r:id="rId9">
        <w:r>
          <w:rPr>
            <w:rStyle w:val="InternetLink"/>
            <w:color w:val="0000FF"/>
            <w:u w:val="single"/>
          </w:rPr>
          <w:t xml:space="preserve"> </w:t>
        </w:r>
      </w:hyperlink>
      <w:hyperlink r:id="rId10">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filed with the SEC on March 16, 2026. As used herein, “we”, “us”, “our”, and the “Company” refer to Playboy, Inc. and its subsidiaries.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statements that are forward-looking and as such are not historical facts. These statements are based on the expectations and beliefs of the management of the Company in light of historical results and trends, current conditions and potential future developments, and are subject to a number of factors and uncertainties that could cause actual results to differ materially from those anticipated in these forward-looking statements. These forward-looking statements include all statements other than historical fact, including, without limitation, statements regarding the financial position, capital structure, dividends, indebtedness, business strategy and plans and objectives of management for future operations of the Company.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 Such statements are based on the beliefs of, as well as assumptions made by and information currently available to, our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forward-looking statements contained in this Quarterly Report on Form 10-Q are based on current expectations and beliefs concerning future developments and their potential effects on our business. There can be no assurance that future developments affecting us will be those that we anticipated. These forward-looking statements involve significant risks and uncertainties that could cause the actual results to differ materially from those discussed in the forward-looking statements. Factors that may cause such differences include, but are not limited to: (1) the inability to maintain the listing of the Company’s shares of common stock on Nasdaq; (2) the risk that the Company’s completed or proposed transactions disrupt the Company’s current plans and/or operations, including the risk that the Company does not complete any such proposed transactions or achieve the expected benefits from any transactions; (3) the ability to recognize the anticipated benefits of corporate transactions, commercial collaborations, cost reduction initiatives and proposed transactions, which may be affected by, among other things, competition, the ability of the Company to grow and manage growth profitably, and the Company’s ability to retain its key employees; (4) costs related to being a public company, corporate transactions, commercial collaborations and proposed transactions; (5) changes in applicable laws or regulations; (6) the possibility that the Company may be adversely affected by global hostilities, supply chain delays, inflation, interest rates, foreign currency exchange rates or other economic, business, and/or competitive factors; (7) risks relating to the uncertainty of the projected financial information of the Company, including changes in the Company’s estimates of cash flows and the fair value of certain of its intangible assets, including goodwill; (8) risks related to the organic and inorganic growth of the Company’s businesses, and the timing of expected business milestones; (9) changing demand or shopping patterns for the Company’s products and services; (10) failure of licensees, suppliers or other third-parties to fulfill their obligations to the Company; (11) the Company’s high concentration of licensing revenue from a small number of licensees; (12) the Company’s ability to comply with the terms of its indebtedness and other obligations; (13) changes in financing markets or the inability of the Company to obtain financing on attractive terms; and (14) other risks and uncertainties indicated in this Quarterly Report on Form 10-Q, including those under “Part II—Item 1A. Risk Factors”, and in “Part I—Item 1A. Risk Factors” in our most recent </w:t>
      </w:r>
      <w:hyperlink r:id="rId11">
        <w:r>
          <w:rPr>
            <w:rStyle w:val="InternetLink"/>
            <w:rFonts w:ascii="Times New Roman;serif" w:hAnsi="Times New Roman;serif"/>
            <w:b w:val="false"/>
            <w:i/>
            <w:color w:val="0000FF"/>
            <w:sz w:val="20"/>
            <w:u w:val="single"/>
          </w:rPr>
          <w:t>Annual Report on Form 10-K</w:t>
        </w:r>
      </w:hyperlink>
      <w:r>
        <w:rPr>
          <w:rFonts w:ascii="Times New Roman;serif" w:hAnsi="Times New Roman;serif"/>
          <w:b w:val="false"/>
          <w:i/>
          <w:color w:val="000000"/>
          <w:sz w:val="20"/>
        </w:rPr>
        <w:t>. Should one or more of these risks or uncertainties materialize, or should any of our assumptions prove incorrect, actual results may vary in material respects from those projected in these forward-looking statements. We caution that the foregoing list of factors is not exclusive, and readers should not place undue reliance upon any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included in this Quarterly Report on Form 10-Q speak only as of the date of this Quarterly Report on Form 10-Q or any earlier date specified for such statements. We do not undertake any obligation to update or revise any forward-looking statements to reflect any change in our expectations or any change in events, conditions, or circumstances on which any such statement is based, except as may be required under applicable securities laws. All subsequent written or oral forward-looking statements attributable to us or persons acting on our behalf are qualified in their entirety by this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global lifestyle, media and licensing company built on the Playboy brand—one of the world’s most recognizable and enduring consumer brands, with Playboy-branded products and content available in over 100 countries. We pursue a capital-light business model in which the Playboy brand serves as the foundation for three brand-powered activities, licensing, media and experiences, and hospitality, which is further complemented by Honey Birdette, our premium direct-to-consumer lingerie business, which operates as a separate direct-to-consumer growth engine. We report our operations in two reportable segments: Direct-to-Consumer and Licensing. Our Direct-to-Consumer segment derives revenue from consumer products sold directly to consumers by Honey Birdette online and through its brick-and-mortar stores, with 48 stores in three countries as of June 30, 2026. Our Licensing segment derives revenue from trademark licenses for third-party consumer products across various apparel and accessories categories, as well as hospitality, digital gaming and location-based entertainment. Effective January 1, 2025, we license our adult businesses, including Playboy Club, Playboy Plus, and Playboy TV digital assets to Byborg Enterprises SA (“Byborg”) pursuant to a License &amp; Management Agreement (the “LMA”). We continue to directly publish editorial and Playmate content in support of our brand and licensing, media and experiences activities.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Key Factors and Trends Affecting Our Business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We believe that our performance and future success depends on several factors that present significant opportunities for us but also pose risks and challenges, including those discussed below and referenced in this Quarterly Report on Form 10-Q under “Part II—Item 1A. Risk Factors”, and in “Part I—Item 1A. Risk Factors” in our most recent </w:t>
      </w:r>
      <w:hyperlink r:id="rId12">
        <w:r>
          <w:rPr>
            <w:rStyle w:val="InternetLink"/>
            <w:rFonts w:ascii="Times New Roman;serif" w:hAnsi="Times New Roman;serif"/>
            <w:b w:val="false"/>
            <w:color w:val="0000FF"/>
            <w:sz w:val="20"/>
            <w:u w:val="single"/>
          </w:rPr>
          <w:t>Annual Report on Form 10-K</w:t>
        </w:r>
      </w:hyperlink>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Pursuing a More Capital-Light Business Model</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pursue a commercial strategy that relies on a more capital-light business model focused on revenue streams with higher margin, lower working capital requirements and higher growth potential. We are doing this by leveraging our flagship Playboy brand to attract best-in-class operators. We also use our licensing business as a marketing tool and brand builder, including through high profile collaborations and our large-scale strategic partnerships.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we entered into the LMA with Byborg to license intellectual property and select Playboy digital assets for $300.0 million in minimum guaranteed payments over the initial 15-year term of the license, which began January 1, 2025.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having stabilized Playboy’s China business in 2024 and 2025, in the fourth quarter of 2025, we transitioned our joint venture for the Playboy business in China into a more typical licensing structure, with an affiliate of our former China joint venture partner becoming our licensing agent in China. On February 9, 2026, we terminated such licensing agent in preparation for the New China JV (defined below). Also on February 9, 2026, we entered into a share purchase agreement (the “Purchase Agreement”) with UTG Brands Management Group Limited (“UTG”) for a new joint venture for the Playboy business in China (the “New China JV”), in which UTG is to ultimately own a 50% interest and operate Playboy’s China licensing business. The initial closing pursuant to the Purchase Agreement (the “New China JV Initial Closing”) occurred, and the New China JV was established, on March 20, 2026. As of the New China JV Initial Closing and June 30, 2026, we owned 83.33% of the New China JV and UTG owned 16.67%. While we retain majority control of the New China JV, UTG manages all operational aspects of Playboy’s licensing business in China, Hong Kong and Macau.</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We are in the early stages of building out our media and experiences areas of focus. During the quarter ended June 30, 2026, we published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featuring Karol G as a cover star, and introduced a new subscription offering across our print and digital content. Subsequent to quarter-end, in July 2026, we featured Cara Delevingne as an additional cover star, continuing our magazine relaunch effort. We are also investing in expanding our social media reach to drive brand engagement, and are planning consumer-facing events designed to bring the Playboy brand to life. Subscriptions and sponsorships represent net new revenue lines for the Company, and we believe these initiatives, together with the integration of licensing and sponsorship opportunities, will support commercial growth and our ability to expand into new licensing verticals and brand categories over time.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licensing business in China to continue to represent a material part of our overall business. Our licensing revenues from China as a percentage of our total revenues were 10% and 11% for each of the three and six months ended June 30, 2026 and 2025, respectively.</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We are focused on strategically expanding our Playboy licensing business into new categories and territories with high quality strategic partners and supporting them with brand marketing in the form of content, experiences and editorial works, including through our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magazine.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Honey Birdette business, we intend to focus on the U.S. market, where the brand’s stores, on average, generate more revenue and better margins, and generally have customers who tend to spend more and are less price sensitive.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 Trade Developments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to monitor ongoing changes in U.S. trade policies, including increasing tariffs on imports, in some cases significantly, and changes to existing international trade agreements. These actions have prompted retaliatory tariffs and other measures by a number of countries. Starting in the second quarter of 2025, the U.S. and certain other countries have taken actions to modify the timing, rates and/or other aspects of certain of these tariffs. However, some of the new tariffs remain in effect, including tariffs between the U.S. and China, where we source the manufacturing of our Honey Birdette products and where many of our licensees source their products. While the impact of such trade policies on our business remains uncertain, we continue to closely monitor such matters and potential impacts, including increased production costs and higher pricing to our customers, either of which could negatively affect our business, results of operations and financial condition. Certain of these tariffs were imposed under the International Emergency Economic Powers Act (“IEEPA”). In February 2026, the U.S. Supreme Court issued a decision that the tariffs imposed under IEEPA were not authorized under such statute, and U.S. Customs and Border Protection has since established a process for claiming refunds of tariffs paid under IEEPA. As of June 30, 2026, we had a determinable claim for $1.1 million of such refunds, which was recorded as a reduction of cost of sales in our condensed consolidated statements of operations for the three and six months ended June 30, 2026. Substantially all of this amount was collected in July 2026, with the remainder received prior to June 30, 2026. We have also submitted claims for additional IEEPA tariffs paid. Such additional claims remain subject to ongoing legal, regulatory, and administrative developments, and the timing, amount, and availability of any further refunds remain uncertain. Accordingly, we have not recognized any additional receivable or reduction of cost of sales relating to such claims because realization is not assured.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Seasonality of Our Consumer Product Sales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receive revenue throughout the year, our Honey Birdette direct-to-consumer business has experienced, and may continue to experience, seasonality. Historical seasonality of revenues may be subject to change as increasing pressure from competition and economic conditions impact our licensees and consumers. The further transition of our business to a capital-light business model may further impact the seasonality of our business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How We Assess the Performance of Our Business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In assessing the performance of our business, we consider a variety of performance and financial measures. The key indicators of the financial condition and operating performance of the business are revenues, salaries and benefits, and selling and administrative expenses. To help assess performance with these key indicators, we use Adjusted EBITDA as a non-GAAP financial measure. We believe this non-GAAP measure provides useful information to investors and expanded insight to measure revenue and cost performance as a supplement to the GAAP consolidated financial statements. See the “</w:t>
      </w:r>
      <w:r>
        <w:rPr>
          <w:rFonts w:ascii="Times New Roman;serif" w:hAnsi="Times New Roman;serif"/>
          <w:b w:val="false"/>
          <w:i/>
          <w:color w:val="000000"/>
          <w:sz w:val="20"/>
        </w:rPr>
        <w:t>EBITDA and</w:t>
      </w:r>
      <w:r>
        <w:rPr>
          <w:color w:val="000000"/>
        </w:rPr>
        <w:t xml:space="preserve">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section below for reconciliations of Adjusted EBITDA to net loss, the closest</w:t>
      </w:r>
      <w:r>
        <w:rPr>
          <w:color w:val="000000"/>
        </w:rPr>
        <w:t xml:space="preserve"> </w:t>
      </w:r>
      <w:r>
        <w:rPr>
          <w:rFonts w:ascii="Times New Roman;serif" w:hAnsi="Times New Roman;serif"/>
          <w:b w:val="false"/>
          <w:color w:val="000000"/>
          <w:sz w:val="20"/>
        </w:rPr>
        <w:t>GAAP measure.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sales of consumer products sold through our Honey Birdette retail stores or online directly to customers, trademark licenses for third-party consumer products and online and location-based entertainment businesses, and licensing the operation of our digital subscriptions and content businesses, which were previously owned and operated by us, to Byborg pursuant to the LMA.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Consumer Products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sales of online apparel and accessories is recognized upon delivery of the goods to the customer. Revenue from sales of apparel at our retail stores is recognized at the time of transaction. Revenue is recognized net of incentives and estimated returns. We periodically offer promotional incentives to customers, which include basket promotional code discounts and other credits, which are recorded as a reduction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Licensing</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license trademarks under multi-year arrangements to consumer products and online and location-based entertainment businesses. Typically, the initial contract term ranges between one to 15 years. Renewals are separately negotiated through amendments. Under these arrangements, we generally receive an annual non-refundable minimum guarantee that is recoupable against a sales-based royalty generated during the license year. Earned royalties received in excess of the minimum guarantee (“Excess Royalties”) are typically payable quarterly. We recognize revenue for the total minimum guarantee specified in the agreement on a straight-line basis over the term of the agreement and recognize Excess Royalties only when the annual minimum guarantee is exceeded. Generally, Excess Royalties are recognized when they are earned. In the event that the collection of any royalty becomes materially uncertain or unlikely, we recognize revenue from our licensees up to the cash we have received. We also license the operation of our Playboy Plus, Playboy TV (online and linear) and Playboy Club digital businesses, which were previously owned and operated by us, to Byborg pursuant to the LMA.</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primarily consist of merchandise costs, warehousing and fulfillment costs, agency and commission fees, website expenses, marketplace traffic acquisition costs, transition expenses per the TSA (commencing January 1, 2025 through June 30, 2025), credit card processing fees, personnel costs, costs associated with branding activities, including the magazine, net of brand expense reimbursement pursuant to the terms of a Brand Support Services Agreement with UTG (the “BSSA”), customer shipping and handling expenses, fulfillment activity costs and freight-in expenses.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Selling and Administrative Expenses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primarily consist of corporate office and retail store occupancy costs, personnel costs, including stock-based compensation, transition expenses per the TSA (commencing January 1, 2025 through June 30, 2025), brand marketing costs, and contractor fees for accounting/finance, legal, human resources, information technology and other administrative functions, general marketing and promotional activities and insurance.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Impairments consist of the impairments of our artwork held for sale during the 2025 period and right-of-use assets related to our corporate leases during the 2025 period.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Operating (Expense) Income, Net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operating (expense) income, net consists primarily of losses on the disposal of assets and other miscellaneous items.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Nonoperating (Expense) Income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interest on our long-term debt and the amortization of deferred financing costs and debt premium/discount.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other miscellaneous nonoperating items, such as nonrecurring transaction fees, foreign exchange realized and unrealized transaction gains or losses, early termination gains, debt related costs, bank charges and interest income.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Expense from Income Taxes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Expense from income taxes consists of an estimate for U.S. federal, state, and foreign income taxes based on enacted rates, as adjusted for allowable credits, deductions, uncertain tax positions, changes in deferred tax assets and liabilities, and changes in the tax law. Due to cumulative losses, we maintain a valuation allowance against our definite-lived U.S. federal and state deferred tax assets, as well as our Australia and U.K. deferred tax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key components of our results of operations for the periods indicated (in thousands, except percentages):</w:t>
      </w:r>
    </w:p>
    <w:tbl>
      <w:tblPr>
        <w:tblW w:w="8198" w:type="dxa"/>
        <w:jc w:val="left"/>
        <w:tblInd w:w="0" w:type="dxa"/>
        <w:tblLayout w:type="fixed"/>
        <w:tblCellMar>
          <w:top w:w="28" w:type="dxa"/>
          <w:left w:w="28" w:type="dxa"/>
          <w:bottom w:w="28" w:type="dxa"/>
          <w:right w:w="28" w:type="dxa"/>
        </w:tblCellMar>
      </w:tblPr>
      <w:tblGrid>
        <w:gridCol w:w="1101"/>
        <w:gridCol w:w="970"/>
        <w:gridCol w:w="97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9"/>
        <w:gridCol w:w="271"/>
        <w:gridCol w:w="61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 w:after="283"/>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expressed as a percentage of total revenue for the periods indicated:</w:t>
      </w:r>
    </w:p>
    <w:p>
      <w:pPr>
        <w:pStyle w:val="TextBody"/>
        <w:bidi w:val="0"/>
        <w:spacing w:before="0" w:after="0"/>
        <w:jc w:val="both"/>
        <w:rPr/>
      </w:pPr>
      <w:r>
        <w:rPr/>
      </w:r>
    </w:p>
    <w:tbl>
      <w:tblPr>
        <w:tblW w:w="5130" w:type="dxa"/>
        <w:jc w:val="left"/>
        <w:tblInd w:w="0" w:type="dxa"/>
        <w:tblLayout w:type="fixed"/>
        <w:tblCellMar>
          <w:top w:w="28" w:type="dxa"/>
          <w:left w:w="28" w:type="dxa"/>
          <w:bottom w:w="28" w:type="dxa"/>
          <w:right w:w="28" w:type="dxa"/>
        </w:tblCellMar>
      </w:tblPr>
      <w:tblGrid>
        <w:gridCol w:w="1161"/>
        <w:gridCol w:w="1022"/>
        <w:gridCol w:w="1027"/>
        <w:gridCol w:w="204"/>
        <w:gridCol w:w="204"/>
        <w:gridCol w:w="204"/>
        <w:gridCol w:w="204"/>
        <w:gridCol w:w="204"/>
        <w:gridCol w:w="204"/>
        <w:gridCol w:w="204"/>
        <w:gridCol w:w="204"/>
        <w:gridCol w:w="288"/>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6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6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w:t>
            </w:r>
          </w:p>
        </w:tc>
        <w:tc>
          <w:tcPr>
            <w:tcW w:w="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Revenues</w:t>
      </w:r>
    </w:p>
    <w:p>
      <w:pPr>
        <w:pStyle w:val="TextBody"/>
        <w:bidi w:val="0"/>
        <w:spacing w:lineRule="auto" w:line="276" w:before="200" w:after="200"/>
        <w:ind w:left="0" w:right="0" w:firstLine="720"/>
        <w:jc w:val="both"/>
        <w:rPr/>
      </w:pPr>
      <w:r>
        <w:rPr>
          <w:rFonts w:ascii="Times New Roman;serif" w:hAnsi="Times New Roman;serif"/>
          <w:b w:val="false"/>
          <w:color w:val="000000"/>
          <w:sz w:val="20"/>
        </w:rPr>
        <w:t>The following table sets forth net revenues by reportable segment (in thousands)</w:t>
      </w:r>
      <w:r>
        <w:rPr>
          <w:rFonts w:ascii="Arial;sans-serif" w:hAnsi="Arial;sans-serif"/>
          <w:b w:val="false"/>
          <w:color w:val="000000"/>
          <w:sz w:val="24"/>
        </w:rPr>
        <w:t>:</w:t>
      </w:r>
    </w:p>
    <w:tbl>
      <w:tblPr>
        <w:tblW w:w="6760" w:type="dxa"/>
        <w:jc w:val="left"/>
        <w:tblInd w:w="0" w:type="dxa"/>
        <w:tblLayout w:type="fixed"/>
        <w:tblCellMar>
          <w:top w:w="28" w:type="dxa"/>
          <w:left w:w="28" w:type="dxa"/>
          <w:bottom w:w="28" w:type="dxa"/>
          <w:right w:w="28" w:type="dxa"/>
        </w:tblCellMar>
      </w:tblPr>
      <w:tblGrid>
        <w:gridCol w:w="609"/>
        <w:gridCol w:w="535"/>
        <w:gridCol w:w="5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614"/>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Direct-to-Consumer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direct-to-consumer net revenues, compared to the prior year comparative period, was driven by continued strong performance of Honey Birdette products, both full price and discounted items, particularly e-commerce sales in the United States and retail sales in Australia.</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Licensing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licensing net revenues, compared to the prior year comparative period, was primarily due to higher overage royalty revenues from existing licensing partners.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The increase in corporate revenues for the three months ended June 30, 2026 was primarily driven by sales of the 2026 spring issue of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which launched in April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All Other</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all other net revenues, compared to the prior year comparative period, was primarily due to lower amortization of deferred revenue balances that existed as of December 31, 2024 (prior to the LMA effective date of January 1, 2025) that pertain to our previously reported digital subscriptions and content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of Sales and Gross Margin</w:t>
      </w:r>
    </w:p>
    <w:p>
      <w:pPr>
        <w:pStyle w:val="TextBody"/>
        <w:bidi w:val="0"/>
        <w:spacing w:lineRule="auto" w:line="276"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cost of sales and gross margin by reportable segment (in thousands):</w:t>
      </w:r>
    </w:p>
    <w:tbl>
      <w:tblPr>
        <w:tblW w:w="8237" w:type="dxa"/>
        <w:jc w:val="left"/>
        <w:tblInd w:w="0" w:type="dxa"/>
        <w:tblLayout w:type="fixed"/>
        <w:tblCellMar>
          <w:top w:w="28" w:type="dxa"/>
          <w:left w:w="28" w:type="dxa"/>
          <w:bottom w:w="28" w:type="dxa"/>
          <w:right w:w="28" w:type="dxa"/>
        </w:tblCellMar>
      </w:tblPr>
      <w:tblGrid>
        <w:gridCol w:w="997"/>
        <w:gridCol w:w="875"/>
        <w:gridCol w:w="888"/>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69"/>
        <w:gridCol w:w="271"/>
        <w:gridCol w:w="614"/>
      </w:tblGrid>
      <w:tr>
        <w:trPr/>
        <w:tc>
          <w:tcPr>
            <w:tcW w:w="99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of sales: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(8,396)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(9,739)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over 150%</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Direct-to-Consumer</w:t>
      </w:r>
    </w:p>
    <w:p>
      <w:pPr>
        <w:pStyle w:val="TextBody"/>
        <w:bidi w:val="0"/>
        <w:spacing w:lineRule="auto" w:line="288" w:before="200" w:after="283"/>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The slight decrease in direct-to-consumer cost of sales, compared to the prior year comparative period, was primarily due to a $0.8 million increase in Honey Birdette’s product, shipping and fulfillment costs driven by higher revenues, offset by tariff refunds. The improvement in gross margin reflects continued revenue growth, outpacing the increase in product, shipping and fulfillment costs, as well as improvement in quality of inventory and related reserves.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Licensing</w:t>
      </w:r>
    </w:p>
    <w:p>
      <w:pPr>
        <w:pStyle w:val="TextBody"/>
        <w:bidi w:val="0"/>
        <w:spacing w:lineRule="auto" w:line="288" w:before="200" w:after="283"/>
        <w:ind w:left="0" w:right="0" w:firstLine="720"/>
        <w:jc w:val="both"/>
        <w:rPr/>
      </w:pPr>
      <w:r>
        <w:rPr>
          <w:rFonts w:ascii="Times New Roman;serif" w:hAnsi="Times New Roman;serif"/>
          <w:b w:val="false"/>
          <w:color w:val="000000"/>
          <w:sz w:val="20"/>
        </w:rPr>
        <w:t>The decrease in licensing cost of sales and the corresponding increase</w:t>
      </w:r>
      <w:r>
        <w:rPr>
          <w:color w:val="000000"/>
        </w:rPr>
        <w:t xml:space="preserve"> </w:t>
      </w:r>
      <w:r>
        <w:rPr>
          <w:rFonts w:ascii="Times New Roman;serif" w:hAnsi="Times New Roman;serif"/>
          <w:b w:val="false"/>
          <w:color w:val="000000"/>
          <w:sz w:val="20"/>
        </w:rPr>
        <w:t xml:space="preserve">in gross margin, compared to the prior year comparative period, were primarily due to a $2.0 million reduction in licensing commissions expense. This reduction was driven by the prior year comparative period, which included a one-time $2.4 million settlement to pay current and future commissions to a licensing agent.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lineRule="auto" w:line="288" w:before="200" w:after="283"/>
        <w:ind w:left="0" w:right="0" w:firstLine="720"/>
        <w:jc w:val="both"/>
        <w:rPr/>
      </w:pPr>
      <w:r>
        <w:rPr>
          <w:rFonts w:ascii="Times New Roman;serif" w:hAnsi="Times New Roman;serif"/>
          <w:b w:val="false"/>
          <w:color w:val="000000"/>
          <w:sz w:val="20"/>
        </w:rPr>
        <w:t>The increase in corporate cost of sales and the corresponding decrease in gross margin, compared to the prior year comparative period, primarily related to the 2026 spring issue of the</w:t>
      </w:r>
      <w:r>
        <w:rPr>
          <w:color w:val="000000"/>
        </w:rPr>
        <w:t xml:space="preserve">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and implementation of a revamped magazine subscription model in the second quarter of 2026. As the magazine is in an early relaunch phase, its production costs currently exceed its revenues, resulting in a negative gross margin. The increase was partially offset by $1.3 million of brand expense reimbursement applied against the cost of sales during the second quarter of 2026, representing a portion of the $4.0 million advance received from UTG under the BSSA. In the prior year comparative period, corporate revenues related primarily to payments from sales of access to our</w:t>
      </w:r>
      <w:r>
        <w:rPr>
          <w:color w:val="000000"/>
        </w:rPr>
        <w:t xml:space="preserve"> </w:t>
      </w:r>
      <w:r>
        <w:rPr>
          <w:rFonts w:ascii="Times New Roman;serif" w:hAnsi="Times New Roman;serif"/>
          <w:b w:val="false"/>
          <w:i/>
          <w:color w:val="000000"/>
          <w:sz w:val="20"/>
        </w:rPr>
        <w:t xml:space="preserve">iPlayboy </w:t>
      </w:r>
      <w:r>
        <w:rPr>
          <w:rFonts w:ascii="Times New Roman;serif" w:hAnsi="Times New Roman;serif"/>
          <w:b w:val="false"/>
          <w:color w:val="000000"/>
          <w:sz w:val="20"/>
        </w:rPr>
        <w:t>archives and carried a de minimis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All Other</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all other cost of sales and related increase in gross margin, compared to the prior year comparative period, was primarily related to the licensing of our digital subscriptions and content operations to Byborg pursuant to the LMA, effective as of January 1, 2025, and the inclusion of transition expenses incurred pursuant to the TSA during the three months ended June 30, 2025, which did not recur in 2026.</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Selling and Administrative Expenses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selling and administrative expenses for the three months ended June 30, 2026, as compared to the prior year comparative period, was primarily due to lower payroll and payroll related expenses of $1.1 million, lower professional and other outside services costs of $0.3 million, a $0.9 million decrease in legal expenses, lower China operating costs of $0.4 million, and a number of offsetting changes in other accounts.</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Impairments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impairments for the three months ended June 30, 2026, as compared to the prior year comparative period, was due to impairment charges of $1.5 million related to our right-of-use assets for corporate leases that were recognized in the prior year comparative period and did not recur. </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Other Operating Expense, Net</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operating expense, net for the three months ended June 30, 2026, as compared to the prior year comparative period, was primarily due to lower losses on the disposal of store and other fixed assets.</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 xml:space="preserve">Nonoperating (Expense) Income </w:t>
      </w:r>
    </w:p>
    <w:p>
      <w:pPr>
        <w:pStyle w:val="TextBody"/>
        <w:bidi w:val="0"/>
        <w:spacing w:lineRule="auto" w:line="27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interest expense, net for the three months ended June 30, 2026, as compared to the prior year comparative period, was primarily due to lower amortization of debt premium, net, partially offset by lower interest expense on our borrowings, reflecting senior secured debt repaid with proceeds from the New China JV transaction.</w:t>
      </w:r>
    </w:p>
    <w:p>
      <w:pPr>
        <w:pStyle w:val="TextBody"/>
        <w:bidi w:val="0"/>
        <w:spacing w:lineRule="auto" w:line="27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net for the three months ended June 30, 2026, as compared to the prior year comparative period, was primarily due to lower unrealized gains and losses related to foreign currency transactions.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Expense from Income Taxes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income taxes for the three months ended June 30, 2026, as compared to the prior year comparative period, was primarily driven by the change in valuation allowance due to the reduction in net indefinite-lived deferred tax liabilities in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key components of our results of operations for the periods indicated (in thousands, except percentages):</w:t>
      </w:r>
    </w:p>
    <w:tbl>
      <w:tblPr>
        <w:tblW w:w="8363" w:type="dxa"/>
        <w:jc w:val="left"/>
        <w:tblInd w:w="0" w:type="dxa"/>
        <w:tblLayout w:type="fixed"/>
        <w:tblCellMar>
          <w:top w:w="28" w:type="dxa"/>
          <w:left w:w="28" w:type="dxa"/>
          <w:bottom w:w="28" w:type="dxa"/>
          <w:right w:w="28" w:type="dxa"/>
        </w:tblCellMar>
      </w:tblPr>
      <w:tblGrid>
        <w:gridCol w:w="1161"/>
        <w:gridCol w:w="1022"/>
        <w:gridCol w:w="102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9"/>
        <w:gridCol w:w="271"/>
        <w:gridCol w:w="61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over 150%</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nonoperating expense</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expressed as a percentage of total revenue for the periods indicated:</w:t>
      </w:r>
    </w:p>
    <w:p>
      <w:pPr>
        <w:pStyle w:val="TextBody"/>
        <w:bidi w:val="0"/>
        <w:spacing w:before="0" w:after="0"/>
        <w:jc w:val="both"/>
        <w:rPr/>
      </w:pPr>
      <w:r>
        <w:rPr/>
      </w:r>
    </w:p>
    <w:tbl>
      <w:tblPr>
        <w:tblW w:w="5351" w:type="dxa"/>
        <w:jc w:val="left"/>
        <w:tblInd w:w="0" w:type="dxa"/>
        <w:tblLayout w:type="fixed"/>
        <w:tblCellMar>
          <w:top w:w="28" w:type="dxa"/>
          <w:left w:w="28" w:type="dxa"/>
          <w:bottom w:w="28" w:type="dxa"/>
          <w:right w:w="28" w:type="dxa"/>
        </w:tblCellMar>
      </w:tblPr>
      <w:tblGrid>
        <w:gridCol w:w="1161"/>
        <w:gridCol w:w="1022"/>
        <w:gridCol w:w="1027"/>
        <w:gridCol w:w="246"/>
        <w:gridCol w:w="220"/>
        <w:gridCol w:w="337"/>
        <w:gridCol w:w="135"/>
        <w:gridCol w:w="135"/>
        <w:gridCol w:w="135"/>
        <w:gridCol w:w="284"/>
        <w:gridCol w:w="256"/>
        <w:gridCol w:w="393"/>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nonoperating expense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Revenues</w:t>
      </w:r>
    </w:p>
    <w:p>
      <w:pPr>
        <w:pStyle w:val="TextBody"/>
        <w:bidi w:val="0"/>
        <w:spacing w:lineRule="auto" w:line="276" w:before="200" w:after="200"/>
        <w:ind w:left="0" w:right="0" w:firstLine="720"/>
        <w:jc w:val="both"/>
        <w:rPr/>
      </w:pPr>
      <w:r>
        <w:rPr>
          <w:rFonts w:ascii="Times New Roman;serif" w:hAnsi="Times New Roman;serif"/>
          <w:b w:val="false"/>
          <w:color w:val="000000"/>
          <w:sz w:val="20"/>
        </w:rPr>
        <w:t>The following table sets forth net revenues by reportable segment (in thousands)</w:t>
      </w:r>
      <w:r>
        <w:rPr>
          <w:rFonts w:ascii="Arial;sans-serif" w:hAnsi="Arial;sans-serif"/>
          <w:b w:val="false"/>
          <w:color w:val="000000"/>
          <w:sz w:val="24"/>
        </w:rPr>
        <w:t>:</w:t>
      </w:r>
    </w:p>
    <w:tbl>
      <w:tblPr>
        <w:tblW w:w="6730" w:type="dxa"/>
        <w:jc w:val="left"/>
        <w:tblInd w:w="0" w:type="dxa"/>
        <w:tblLayout w:type="fixed"/>
        <w:tblCellMar>
          <w:top w:w="28" w:type="dxa"/>
          <w:left w:w="28" w:type="dxa"/>
          <w:bottom w:w="28" w:type="dxa"/>
          <w:right w:w="28" w:type="dxa"/>
        </w:tblCellMar>
      </w:tblPr>
      <w:tblGrid>
        <w:gridCol w:w="609"/>
        <w:gridCol w:w="535"/>
        <w:gridCol w:w="53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8"/>
        <w:gridCol w:w="218"/>
        <w:gridCol w:w="614"/>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Direct-to-Consumer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direct-to-consumer net revenues, compared to the prior year comparative period, was primarily due to continued over-performance of full price Honey Birdette products.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Licensing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licensing net revenues, compared to the prior year comparative period, was primarily due to the expiration of a small number of licensing agreements, some of which are expected to be replaced in subsequent quarters, partially offset by higher royalty overages revenue from existing licensees.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Corporate revenues for the six months ended June 30, 2026 were substantially consistent with the prior year comparative period. The composition shifted toward magazine subscriptions, with the release of the spring 2026 issue of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in April 2026, and away from sponsorship events that occurred in the prior year comparative period, as a result of changes in brand strategy.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All Other</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all other revenue, compared to the prior year comparative period, was primarily due to lower amortization of deferred revenue balances that existed as of December 31, 2024 (prior to the LMA effective date of January 1, 2025) that pertain to our previously reported digital subscriptions and content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76"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cost of sales and gross margin by reportable segment (in thousands):</w:t>
      </w:r>
    </w:p>
    <w:tbl>
      <w:tblPr>
        <w:tblW w:w="8462" w:type="dxa"/>
        <w:jc w:val="left"/>
        <w:tblInd w:w="0" w:type="dxa"/>
        <w:tblLayout w:type="fixed"/>
        <w:tblCellMar>
          <w:top w:w="28" w:type="dxa"/>
          <w:left w:w="28" w:type="dxa"/>
          <w:bottom w:w="28" w:type="dxa"/>
          <w:right w:w="28" w:type="dxa"/>
        </w:tblCellMar>
      </w:tblPr>
      <w:tblGrid>
        <w:gridCol w:w="997"/>
        <w:gridCol w:w="875"/>
        <w:gridCol w:w="888"/>
        <w:gridCol w:w="211"/>
        <w:gridCol w:w="796"/>
        <w:gridCol w:w="271"/>
        <w:gridCol w:w="109"/>
        <w:gridCol w:w="109"/>
        <w:gridCol w:w="109"/>
        <w:gridCol w:w="211"/>
        <w:gridCol w:w="796"/>
        <w:gridCol w:w="271"/>
        <w:gridCol w:w="109"/>
        <w:gridCol w:w="109"/>
        <w:gridCol w:w="109"/>
        <w:gridCol w:w="211"/>
        <w:gridCol w:w="691"/>
        <w:gridCol w:w="109"/>
        <w:gridCol w:w="109"/>
        <w:gridCol w:w="109"/>
        <w:gridCol w:w="109"/>
        <w:gridCol w:w="269"/>
        <w:gridCol w:w="271"/>
        <w:gridCol w:w="614"/>
      </w:tblGrid>
      <w:tr>
        <w:trPr/>
        <w:tc>
          <w:tcPr>
            <w:tcW w:w="99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of sales:</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(14,861)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(13,742)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(17,940)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(18,792)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20,135 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19,284 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gross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over 150%</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over 150%</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gross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Direct-to-Consumer</w:t>
      </w:r>
    </w:p>
    <w:p>
      <w:pPr>
        <w:pStyle w:val="TextBody"/>
        <w:bidi w:val="0"/>
        <w:spacing w:lineRule="auto" w:line="288" w:before="200" w:after="283"/>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The increase in direct-to-consumer cost of sales, compared to the prior year comparative period, was primarily due to $1.0 million of higher Honey Birdette product, shipping and fulfillment costs associated with Honey Birdette’s revenue growth, partially offset by $1.1 million of tariff refunds, together with a $0.9 million increase in inventory reserves and related write-offs (of which approximately $0.7 million was recognized in the first quarter of 2026) as Honey Birdette increased its inventory balance in preparation for such growth. Gross margin improved to 61%, as higher full-price product sales outpaced the increase in inventory reserves.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Licensing</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licensing cost of sales and the corresponding increase in gross margin, compared to the prior year comparative period, was primarily due to $2.0 million of lower commissions in the second quarter of 2026, as a result of the prior year comparative period having included a one-time $2.4 million commission settlement, partially offset by a $0.9 million commission payment and a $0.3 million agency-termination payment to our former China licensing agent recognized in the first quarter of 2026.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lineRule="auto" w:line="288" w:before="200" w:after="283"/>
        <w:ind w:left="0" w:right="0" w:firstLine="720"/>
        <w:jc w:val="both"/>
        <w:rPr/>
      </w:pPr>
      <w:r>
        <w:rPr>
          <w:rFonts w:ascii="Times New Roman;serif" w:hAnsi="Times New Roman;serif"/>
          <w:b w:val="false"/>
          <w:color w:val="000000"/>
          <w:sz w:val="20"/>
        </w:rPr>
        <w:t>The increase in corporate cost of sales and the corresponding decrease in gross margin, compared to the prior year comparative period, primarily related to the 2026 spring issue of</w:t>
      </w:r>
      <w:r>
        <w:rPr>
          <w:color w:val="000000"/>
        </w:rPr>
        <w:t xml:space="preserve">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and implementation of a revamped magazine subscription model in the second quarter of 2026. As the magazine is in an early relaunch phase, its production costs currently exceed its revenues, resulting in a negative gross margin. Corporate cost of sales for the six months ended June 30, 2026 was partially offset by $1.3 million of brand expense reimbursement applied against cost of sales during the second quarter of 2026, representing a portion of the $4.0 million advance received from UTG under the BSSA.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All Other</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all other cost of sales and the corresponding increase in gross margin, compared to the prior year comparative period, was primarily related to the licensing of our digital subscriptions and content operations to Byborg pursuant to the LMA, effective as of January 1, 2025, and the inclusion of transition expenses incurred pursuant to the TSA during the six months ended June 30, 2025, which did not recur in 2026.</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Selling and Administrative Expenses</w:t>
      </w:r>
    </w:p>
    <w:p>
      <w:pPr>
        <w:pStyle w:val="TextBody"/>
        <w:bidi w:val="0"/>
        <w:spacing w:before="200" w:after="283"/>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selling and administrative expenses for the six months ended June 30, 2026, compared to the prior year comparative period, was primarily due to lower payroll and payroll-related expenses, including severance cost of $5.7 million, mainly due to the transition of our digital operations into a licensing model during the prior year comparative period, lower professional and other outside services of $1.2 million, lower China operating costs of $0.7 million, lower legal expenses of $0.4 million, partially offset by $2.9 million of transaction expenses related to the formation of the New China JV and a $1.3 million increase in stock-based compensation expense due to new grant issuances in 2026.</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Impairments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impairments for the six months ended June 30, 2026, as compared to the prior year comparative period, was primarily due to the non-recurrence of prior-year impairment charges recognized on our artwork held for sale of $0.3 million and on right-of-use assets related to our corporate leases of $1.5 million.</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Other Operating Income (Expense), Net</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from other operating expense, net in prior year comparative period to other operating income, net was primarily due to a $0.9 million non-recurring release of an aged value-added tax (VAT) provision recognized in the first quarter of 2026 and $0.7 million lower net losses on the disposal and write-off of certain fixed assets.</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 xml:space="preserve">Nonoperating (Expense) Income </w:t>
      </w:r>
    </w:p>
    <w:p>
      <w:pPr>
        <w:pStyle w:val="TextBody"/>
        <w:bidi w:val="0"/>
        <w:spacing w:lineRule="auto" w:line="27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interest expense, net for the six months ended June 30, 2026, as compared to the prior year comparative period, was primarily due to lower amortization of debt premium and discount, partially offset by lower interest expense on our borrowings, reflecting senior secured debt repaid with proceeds from the New China JV transaction.</w:t>
      </w:r>
    </w:p>
    <w:p>
      <w:pPr>
        <w:pStyle w:val="TextBody"/>
        <w:bidi w:val="0"/>
        <w:spacing w:lineRule="auto" w:line="27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net for the six months ended June 30, 2026, as compared to the prior year comparative period, was primarily due to a $0.5 million fee to vacate a leased store space early in the first quarter of 2026, partially offset by lower net unrealized gains on foreign currency transactions.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Expense from Income Taxes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expense from income taxes for the six months ended June 30, 2026, as compared to the prior year comparative period, was primarily driven by the change in valuation allowance due to a reduction in net indefinite-lived deferred tax liabilities in the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believe the following non-GAAP measure is useful in evaluating our operational performance. We use the following non-GAAP financial information to evaluate our ongoing operations and for internal planning and forecasting purposes. We believe that non-GAAP financial information, when taken collectively, may be helpful to investors in assessing our operating performance.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lineRule="auto" w:line="276" w:before="200" w:after="283"/>
        <w:ind w:left="0" w:right="0" w:firstLine="720"/>
        <w:jc w:val="both"/>
        <w:rPr>
          <w:color w:val="000000"/>
        </w:rPr>
      </w:pPr>
      <w:r>
        <w:rPr>
          <w:color w:val="000000"/>
        </w:rPr>
        <w:t>“</w:t>
      </w:r>
      <w:r>
        <w:rPr>
          <w:rFonts w:ascii="Times New Roman;serif" w:hAnsi="Times New Roman;serif"/>
          <w:b w:val="false"/>
          <w:color w:val="000000"/>
          <w:sz w:val="20"/>
        </w:rPr>
        <w:t>EBITDA” is defined as net income or loss before interest, income tax expense or benefit, and depreciation and amortization. “Adjusted EBITDA” is defined as EBITDA adjusted for stock-based compensation and other special items determined by management. Adjusted EBITDA is intended as a supplemental measure of our performance that is neither required by, nor presented in accordance with, GAAP. We believe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investors should be aware that when evaluating EBITDA and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not all companies may calculate Adjusted EBITDA in the same fashion.</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adjusting for non-cash stock-based compensation, non-cash charges for the fair value remeasurements of certain liabilities, non-recurring non-cash impairments and asset write-downs, we typically adjust for non-operating expenses and income, such as nonrecurring special projects, including related consulting expenses, transition expenses, settlements, nonrecurring gain or loss on the sale of assets, expenses associated with financing activities, and reorganization and severance expenses that result from the elimination or rightsizing of specific business activities or operations.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 a supplemental basis. Investors should review the reconciliation of net loss to EBITDA and Adjusted EBITDA below and not rely on any single financial measure to evaluate our business.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(loss) to EBITDA and Adjusted EBITDA (in thousands):</w:t>
      </w:r>
    </w:p>
    <w:tbl>
      <w:tblPr>
        <w:tblW w:w="8197" w:type="dxa"/>
        <w:jc w:val="left"/>
        <w:tblInd w:w="0" w:type="dxa"/>
        <w:tblLayout w:type="fixed"/>
        <w:tblCellMar>
          <w:top w:w="28" w:type="dxa"/>
          <w:left w:w="28" w:type="dxa"/>
          <w:bottom w:w="28" w:type="dxa"/>
          <w:right w:w="28" w:type="dxa"/>
        </w:tblCellMar>
      </w:tblPr>
      <w:tblGrid>
        <w:gridCol w:w="1052"/>
        <w:gridCol w:w="925"/>
        <w:gridCol w:w="933"/>
        <w:gridCol w:w="211"/>
        <w:gridCol w:w="616"/>
        <w:gridCol w:w="109"/>
        <w:gridCol w:w="109"/>
        <w:gridCol w:w="109"/>
        <w:gridCol w:w="109"/>
        <w:gridCol w:w="211"/>
        <w:gridCol w:w="691"/>
        <w:gridCol w:w="109"/>
        <w:gridCol w:w="109"/>
        <w:gridCol w:w="109"/>
        <w:gridCol w:w="109"/>
        <w:gridCol w:w="211"/>
        <w:gridCol w:w="721"/>
        <w:gridCol w:w="109"/>
        <w:gridCol w:w="109"/>
        <w:gridCol w:w="109"/>
        <w:gridCol w:w="109"/>
        <w:gridCol w:w="211"/>
        <w:gridCol w:w="796"/>
        <w:gridCol w:w="311"/>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(16,720)</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commissions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 xml:space="preserve">Transaction expenses for the three months ended June 30, 2026 primarily represent less than $0.1 million of expenses related to the seventh and eighth amendments of our senior secured credit agreement that were incurred in the second quarter of 2026 and less than $0.1 million of additional transaction expenses incurred in the second quarter of 2026 in relation to the formation of the New China JV.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 xml:space="preserve">Transaction expenses for the six months ended June 30, 2026 primarily represent $2.9 million related to the formation of the New China JV, termination expenses of $0.3 million related to our former China joint venture arrangements, and $0.4 million of expenses related to the seventh and eighth amendments of our senior secured credit agreement. </w:t>
      </w:r>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shd w:fill="FFFFFF" w:val="clear"/>
        </w:rPr>
        <w:t xml:space="preserve">Licensing commissions settlement for the </w:t>
      </w:r>
      <w:r>
        <w:rPr>
          <w:rFonts w:ascii="Times New Roman;serif" w:hAnsi="Times New Roman;serif"/>
          <w:b w:val="false"/>
          <w:color w:val="000000"/>
          <w:sz w:val="20"/>
        </w:rPr>
        <w:t>three and six months ended June 30, 2025 represents a one-time settlement amount of $2.4 million to pay current and future commissions to a licensing agent, which were paid in the third quarter of 2025.</w:t>
      </w:r>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Transition expenses for the three and six months ended June 30, 2025 represent costs associated with the digital operations licensed to Byborg pursuant to the TSA.</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Severance expenses for the three and six months ended June 30, 2025 were due to the reduction of headcount related to the transition of our digital subscriptions and content operations into a licensing model.</w:t>
      </w:r>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Impairments for the three months ended June 30, 2025 related to impairment charges on our right-of-use assets related to our corporate leases and did not recur in the second quarter of 2026.</w:t>
      </w:r>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Impairments for the six months ended June 30, 2025 related to impairment charges on our artwork held for sale and our right-of-use assets related to our corporate leases and did not recur in the first half of 2026.</w:t>
      </w:r>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Adjustments for the three and six months ended June 30, 2026</w:t>
      </w:r>
      <w:r>
        <w:rPr>
          <w:color w:val="000000"/>
        </w:rPr>
        <w:t xml:space="preserve"> </w:t>
      </w:r>
      <w:r>
        <w:rPr>
          <w:rFonts w:ascii="Times New Roman;serif" w:hAnsi="Times New Roman;serif"/>
          <w:b w:val="false"/>
          <w:color w:val="000000"/>
          <w:sz w:val="20"/>
        </w:rPr>
        <w:t xml:space="preserve">are primarily related to losses on asset disposals and the non-cash fair value change related to contingent liabilities fair value remeasurement with respect to potential shares issuable for our 2021 acquisition of GlowUp Digital, Inc. that remained unsettled as of June 30, 2026, as well as other miscellaneous items. </w:t>
      </w:r>
    </w:p>
    <w:p>
      <w:pPr>
        <w:pStyle w:val="TextBody"/>
        <w:bidi w:val="0"/>
        <w:spacing w:lineRule="auto" w:line="276" w:before="200" w:after="283"/>
        <w:ind w:left="0" w:right="0" w:hanging="360"/>
        <w:jc w:val="both"/>
        <w:rPr/>
      </w:pPr>
      <w:r>
        <w:rPr>
          <w:color w:val="000000"/>
        </w:rPr>
        <w:t>•</w:t>
      </w:r>
      <w:r>
        <w:rPr>
          <w:rFonts w:ascii="Times New Roman;serif" w:hAnsi="Times New Roman;serif"/>
          <w:b w:val="false"/>
          <w:color w:val="000000"/>
          <w:sz w:val="20"/>
        </w:rPr>
        <w:t>Adjustments for the three and six ended June 30, 2025 are primarily related to the non-cash fair value change related to contingent liabilities fair value remeasurement with respect to potential shares issuable for our 2021 acquisition of GlowUp Digital, Inc. that remained unsettled as of June 30, 2025, loss on the sale of artwork, loss on disposal of assets, consulting, advisory and other costs relating to corporate transactions, as well as reorganization costs resulting from the elimination or rightsizing of specific business activities or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Segment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Our Chief Executive Officer is our Chief Operating Decision Maker (“CODM”). Segment information is presented in the same manner that our CODM reviews the operating results in assessing performance and allocating resources. Total asset information is not included in the tables below as it is not provided to and reviewed by our CODM. The “All Other” columns relate to the previously identified operating and reportable segment, Digital Subscriptions and Content, which was eliminated upon its transition into a licensing model under the LMA. The “Corporate” column in the tables below includes certain operating revenues associated with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magazine, events and sponsorships and expenses that are not allocated to the reportable segments presented to our CODM. Such expenses include legal, human resources, information technology and facilities, accounting/finance and brand marketing costs. Expenses associated with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events and sponsorships are included in brand marketing costs. The accounting policies of the reportable segments are the same as those described in Note 1, Basis of Presentation and Summary of Significant Accounting Policies, of the Notes to our Condensed Consolidated Financial Statements included in Part I, Item 1 of this Quarterly Report on Form 10-Q.</w:t>
      </w:r>
    </w:p>
    <w:p>
      <w:pPr>
        <w:pStyle w:val="TextBody"/>
        <w:bidi w:val="0"/>
        <w:spacing w:lineRule="auto" w:line="288" w:before="200" w:after="283"/>
        <w:ind w:left="0" w:right="0" w:firstLine="720"/>
        <w:jc w:val="both"/>
        <w:rPr>
          <w:color w:val="000000"/>
        </w:rPr>
      </w:pPr>
      <w:r>
        <w:rPr>
          <w:color w:val="000000"/>
        </w:rPr>
        <w:t>“</w:t>
      </w:r>
      <w:r>
        <w:rPr>
          <w:rFonts w:ascii="Times New Roman;serif" w:hAnsi="Times New Roman;serif"/>
          <w:b w:val="false"/>
          <w:color w:val="000000"/>
          <w:sz w:val="20"/>
        </w:rPr>
        <w:t>Adjusted Operating (Loss) Income” is defined as operating income or loss adjusted for stock-based compensation and other special items determined by management. Adjusted operating (loss) income is intended as a supplemental measure of our performance that is neither required by, nor presented in accordance with, GAAP. We believe that the use of adjusted operating (loss) income provides an additional tool for investors to use in evaluating ongoing operating results and trends and in comparing our financial measures with those of comparable companies, which may present similar non-GAAP financial measures to investors. However, investors should be aware that when evaluating adjusted operating (loss) income, we may incur future expenses similar to those excluded when calculating these measures. In addition, our presentation of these measures should not be construed as an inference that our future results will be unaffected by unusual or nonrecurring items. Our computation of adjusted operating (loss) income may not be comparable to other similarly titled measures computed by other companies, because not all companies may calculate adjusted operating (loss) income in the same fashion.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adjusting for non-cash stock-based compensation, non-cash charges for the fair value remeasurements of certain liabilities, nonrecurring non-cash impairments and asset write-downs, we typically adjust for nonrecurring special projects, including for related consultant expenses, nonrecurring gain on the sale of assets, expenses associated with financing activities, and reorganization and severance expenses that result from the elimination or rightsizing of specific business activities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limitations described above, adjusted operating (loss) income should not be considered in isolation or as a substitute for performance measures calculated in accordance with GAAP. We compensate for these limitations by relying primarily on our GAAP results and using adjusted operating income (loss) on a supplemental basis. Investors should review the reconciliation of operating loss to adjusted operating (loss) income below and not rely on any single financial measure to evaluate our business.</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Operating (Loss) Income to Adjusted Operating (Loss) Income by reportable segment (in thousands): </w:t>
      </w:r>
    </w:p>
    <w:p>
      <w:pPr>
        <w:pStyle w:val="TextBody"/>
        <w:bidi w:val="0"/>
        <w:spacing w:before="0" w:after="0"/>
        <w:jc w:val="both"/>
        <w:rPr/>
      </w:pPr>
      <w:r>
        <w:rPr/>
      </w:r>
    </w:p>
    <w:tbl>
      <w:tblPr>
        <w:tblW w:w="9786" w:type="dxa"/>
        <w:jc w:val="left"/>
        <w:tblInd w:w="0" w:type="dxa"/>
        <w:tblLayout w:type="fixed"/>
        <w:tblCellMar>
          <w:top w:w="28" w:type="dxa"/>
          <w:left w:w="28" w:type="dxa"/>
          <w:bottom w:w="28" w:type="dxa"/>
          <w:right w:w="28" w:type="dxa"/>
        </w:tblCellMar>
      </w:tblPr>
      <w:tblGrid>
        <w:gridCol w:w="1038"/>
        <w:gridCol w:w="911"/>
        <w:gridCol w:w="916"/>
        <w:gridCol w:w="479"/>
        <w:gridCol w:w="1058"/>
        <w:gridCol w:w="249"/>
        <w:gridCol w:w="109"/>
        <w:gridCol w:w="109"/>
        <w:gridCol w:w="109"/>
        <w:gridCol w:w="211"/>
        <w:gridCol w:w="616"/>
        <w:gridCol w:w="109"/>
        <w:gridCol w:w="109"/>
        <w:gridCol w:w="109"/>
        <w:gridCol w:w="109"/>
        <w:gridCol w:w="211"/>
        <w:gridCol w:w="691"/>
        <w:gridCol w:w="109"/>
        <w:gridCol w:w="109"/>
        <w:gridCol w:w="109"/>
        <w:gridCol w:w="109"/>
        <w:gridCol w:w="241"/>
        <w:gridCol w:w="534"/>
        <w:gridCol w:w="124"/>
        <w:gridCol w:w="109"/>
        <w:gridCol w:w="109"/>
        <w:gridCol w:w="109"/>
        <w:gridCol w:w="211"/>
        <w:gridCol w:w="61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expenses </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operating income (loss)</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951" w:type="dxa"/>
        <w:jc w:val="left"/>
        <w:tblInd w:w="0" w:type="dxa"/>
        <w:tblLayout w:type="fixed"/>
        <w:tblCellMar>
          <w:top w:w="28" w:type="dxa"/>
          <w:left w:w="28" w:type="dxa"/>
          <w:bottom w:w="28" w:type="dxa"/>
          <w:right w:w="28" w:type="dxa"/>
        </w:tblCellMar>
      </w:tblPr>
      <w:tblGrid>
        <w:gridCol w:w="1070"/>
        <w:gridCol w:w="939"/>
        <w:gridCol w:w="945"/>
        <w:gridCol w:w="470"/>
        <w:gridCol w:w="1072"/>
        <w:gridCol w:w="244"/>
        <w:gridCol w:w="109"/>
        <w:gridCol w:w="109"/>
        <w:gridCol w:w="109"/>
        <w:gridCol w:w="211"/>
        <w:gridCol w:w="616"/>
        <w:gridCol w:w="109"/>
        <w:gridCol w:w="109"/>
        <w:gridCol w:w="109"/>
        <w:gridCol w:w="109"/>
        <w:gridCol w:w="211"/>
        <w:gridCol w:w="691"/>
        <w:gridCol w:w="109"/>
        <w:gridCol w:w="109"/>
        <w:gridCol w:w="109"/>
        <w:gridCol w:w="109"/>
        <w:gridCol w:w="220"/>
        <w:gridCol w:w="566"/>
        <w:gridCol w:w="114"/>
        <w:gridCol w:w="109"/>
        <w:gridCol w:w="109"/>
        <w:gridCol w:w="109"/>
        <w:gridCol w:w="211"/>
        <w:gridCol w:w="69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Licensing commissions settlement </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Transition expenses </w:t>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operating (loss) income</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Operations—Non-GAAP Financial Measures</w:t>
      </w:r>
      <w:r>
        <w:rPr>
          <w:color w:val="000000"/>
        </w:rPr>
        <w:t xml:space="preserve">” </w:t>
      </w:r>
      <w:r>
        <w:rPr>
          <w:rFonts w:ascii="Times New Roman;serif" w:hAnsi="Times New Roman;serif"/>
          <w:b w:val="false"/>
          <w:color w:val="000000"/>
          <w:sz w:val="20"/>
        </w:rPr>
        <w:t>for descriptions of the adjustments to reconcile net loss to Adjusted EBITDA, certain of which adjustments are listed in the table above and the descriptions used for the reconciliation of net loss to Adjusted EBITDA are also applicable for the table above.</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Direct-to-Consumer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Net Revenues and Gross Margin: </w:t>
      </w: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Operations—Results of Operations</w:t>
      </w:r>
      <w:r>
        <w:rPr>
          <w:color w:val="000000"/>
        </w:rPr>
        <w:t xml:space="preserve">” </w:t>
      </w:r>
      <w:r>
        <w:rPr>
          <w:rFonts w:ascii="Times New Roman;serif" w:hAnsi="Times New Roman;serif"/>
          <w:b w:val="false"/>
          <w:color w:val="000000"/>
          <w:sz w:val="20"/>
        </w:rPr>
        <w:t>for a discussion of changes in net revenues and gross profit in our Direct-to-Consumer segment from 2025 to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Operating Income (Loss): </w:t>
      </w:r>
      <w:r>
        <w:rPr>
          <w:rFonts w:ascii="Times New Roman;serif" w:hAnsi="Times New Roman;serif"/>
          <w:b w:val="false"/>
          <w:color w:val="000000"/>
          <w:sz w:val="20"/>
        </w:rPr>
        <w:t>The change from operating loss to operating income, compared to the prior year comparative period, was primarily due to a $3.0 million increase in gross profit related to significant sales growth and tariff refunds, partly offset by a one-time increase in transfer pricing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Adjusted Operating Income (Loss): </w:t>
      </w:r>
      <w:r>
        <w:rPr>
          <w:rFonts w:ascii="Times New Roman;serif" w:hAnsi="Times New Roman;serif"/>
          <w:b w:val="false"/>
          <w:color w:val="000000"/>
          <w:sz w:val="20"/>
        </w:rPr>
        <w:t>The change from adjusted operating loss to adjusted operating income, compared to the prior year comparative period, was primarily due to the change in operating income (loss)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Licensing</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Net Revenues and Gross Margin: </w:t>
      </w: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Operations—Results of Operations</w:t>
      </w:r>
      <w:r>
        <w:rPr>
          <w:color w:val="000000"/>
        </w:rPr>
        <w:t xml:space="preserve">” </w:t>
      </w:r>
      <w:r>
        <w:rPr>
          <w:rFonts w:ascii="Times New Roman;serif" w:hAnsi="Times New Roman;serif"/>
          <w:b w:val="false"/>
          <w:color w:val="000000"/>
          <w:sz w:val="20"/>
        </w:rPr>
        <w:t xml:space="preserve">for a discussion of changes in net revenues and gross profit in our Licensing segment from 2025 to 2026.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Operating Income: </w:t>
      </w:r>
      <w:r>
        <w:rPr>
          <w:rFonts w:ascii="Times New Roman;serif" w:hAnsi="Times New Roman;serif"/>
          <w:b w:val="false"/>
          <w:color w:val="000000"/>
          <w:sz w:val="20"/>
        </w:rPr>
        <w:t>The increase in operating income, compared to the prior year comparative period, was primarily due to a $2.3 million increase in licensing gross profit, driven by lower China licensing agent commissions (the prior year comparative period included a one-time settlement amount of $2.4 million to pay current and future commissions to a licensing agent) and lower selling and administrative expenses of $1.7 million, primarily driven by $0.8 million of lower legal costs and $0.4 million of lower China licensing operating costs (staffing and general and administrative expenses).</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Adjusted Operating Income:</w:t>
      </w:r>
      <w:r>
        <w:rPr>
          <w:color w:val="000000"/>
        </w:rPr>
        <w:t xml:space="preserve"> </w:t>
      </w:r>
      <w:r>
        <w:rPr>
          <w:rFonts w:ascii="Times New Roman;serif" w:hAnsi="Times New Roman;serif"/>
          <w:b w:val="false"/>
          <w:color w:val="000000"/>
          <w:sz w:val="20"/>
        </w:rPr>
        <w:t>Adjustments to licensing operating income for the three months ended June 30, 2025 related to a one-time settlement amount of $2.4 million to pay current and future commissions to a licensing agent. There were no adjustments to licensing operating income for the three months ended June 30, 2026, and the change in adjusted operating income was the same as the change in operating income above.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decrease in corporate operating loss, compared to the prior year comparative period, was primarily due to the non-recurrence of $1.5 million of prior-year impairment charges and the non-recurrence of $0.4 million of prior-year asset-disposal losses, $1.5 million of higher transfer price cost allocations to other segments, which eliminate in consolidation, and lower selling and administrative expenses, including $0.3 million of lower professional and outside services and $0.3 million of lower severance. These improvements were partially offset by a $1.1 million increase in costs of sales, primarily related to the 2026 spring issue of</w:t>
      </w:r>
      <w:r>
        <w:rPr>
          <w:color w:val="000000"/>
        </w:rPr>
        <w:t xml:space="preserve">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 xml:space="preserve">magazine and implementation of a revamped magazine subscription model in the second quarter of 2026 (net of a $1.3 million UTG brand-expense reimbursement applied against cost of sales during the second quarter of 2026, representing a portion of the $4.0 million advance received from UTG under the BSSA) and a $0.9 million increase in stock-based compensation due to new grant issuances.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adjusted corporate expenses, compared to the prior year comparative period, was primarily due to a $0.8 million favorable non-recurring release of a sales and use tax reserve, $1.5 million of higher intercompany cost allocations to other segments, which eliminate in consolidation, partially offset by a $1.3 million UTG brand-expense reimbursement applied against cost of sales under the BSSA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 Other</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Net Revenues and Gross Margin: </w:t>
      </w: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Operations—Results of Operations</w:t>
      </w:r>
      <w:r>
        <w:rPr>
          <w:color w:val="000000"/>
        </w:rPr>
        <w:t xml:space="preserve">” </w:t>
      </w:r>
      <w:r>
        <w:rPr>
          <w:rFonts w:ascii="Times New Roman;serif" w:hAnsi="Times New Roman;serif"/>
          <w:b w:val="false"/>
          <w:color w:val="000000"/>
          <w:sz w:val="20"/>
        </w:rPr>
        <w:t>for a discussion of changes from 2025 to 2026 in net revenues and gross profit classified as All Other.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Operating Income (loss): </w:t>
      </w:r>
      <w:r>
        <w:rPr>
          <w:rFonts w:ascii="Times New Roman;serif" w:hAnsi="Times New Roman;serif"/>
          <w:b w:val="false"/>
          <w:color w:val="000000"/>
          <w:sz w:val="20"/>
        </w:rPr>
        <w:t>The change from operating loss in the prior year comparative period to operating income, was due to the transition of our digital operations into a licensing model pursuant to the LMA and inclusion of $1.2 million of transition expenses pursuant to the TSA in the prior year comparative period, partly offset by lower amortization of deferred revenue balances that existed as of December 31, 2024 (prior to the LMA effective date of January 1, 2025) that pertain to our previously reported digital subscriptions and content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Adjusted Operating Income: </w:t>
      </w:r>
      <w:r>
        <w:rPr>
          <w:rFonts w:ascii="Times New Roman;serif" w:hAnsi="Times New Roman;serif"/>
          <w:b w:val="false"/>
          <w:color w:val="000000"/>
          <w:sz w:val="20"/>
        </w:rPr>
        <w:t>The decrease in adjusted operating income, compared to the prior year comparative period, was primarily due to lower amortization of deferred revenue balances that existed as of December 31, 2024 (prior to the LMA effective date of January 1, 2025) that pertain to our previously reported digital subscriptions and content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Operating (Loss) Income to Adjusted Operating (Loss) Income by reportable segment (in thousands): </w:t>
      </w:r>
    </w:p>
    <w:p>
      <w:pPr>
        <w:pStyle w:val="TextBody"/>
        <w:bidi w:val="0"/>
        <w:spacing w:before="0" w:after="0"/>
        <w:jc w:val="both"/>
        <w:rPr/>
      </w:pPr>
      <w:r>
        <w:rPr/>
      </w:r>
    </w:p>
    <w:tbl>
      <w:tblPr>
        <w:tblW w:w="10101" w:type="dxa"/>
        <w:jc w:val="left"/>
        <w:tblInd w:w="0" w:type="dxa"/>
        <w:tblLayout w:type="fixed"/>
        <w:tblCellMar>
          <w:top w:w="28" w:type="dxa"/>
          <w:left w:w="28" w:type="dxa"/>
          <w:bottom w:w="28" w:type="dxa"/>
          <w:right w:w="28" w:type="dxa"/>
        </w:tblCellMar>
      </w:tblPr>
      <w:tblGrid>
        <w:gridCol w:w="1038"/>
        <w:gridCol w:w="910"/>
        <w:gridCol w:w="917"/>
        <w:gridCol w:w="402"/>
        <w:gridCol w:w="1175"/>
        <w:gridCol w:w="209"/>
        <w:gridCol w:w="109"/>
        <w:gridCol w:w="109"/>
        <w:gridCol w:w="109"/>
        <w:gridCol w:w="211"/>
        <w:gridCol w:w="721"/>
        <w:gridCol w:w="109"/>
        <w:gridCol w:w="109"/>
        <w:gridCol w:w="109"/>
        <w:gridCol w:w="109"/>
        <w:gridCol w:w="211"/>
        <w:gridCol w:w="796"/>
        <w:gridCol w:w="109"/>
        <w:gridCol w:w="109"/>
        <w:gridCol w:w="109"/>
        <w:gridCol w:w="109"/>
        <w:gridCol w:w="241"/>
        <w:gridCol w:w="534"/>
        <w:gridCol w:w="124"/>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(loss)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operating income (loss)</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9"/>
        <w:gridCol w:w="881"/>
        <w:gridCol w:w="887"/>
        <w:gridCol w:w="396"/>
        <w:gridCol w:w="1185"/>
        <w:gridCol w:w="205"/>
        <w:gridCol w:w="109"/>
        <w:gridCol w:w="109"/>
        <w:gridCol w:w="109"/>
        <w:gridCol w:w="211"/>
        <w:gridCol w:w="721"/>
        <w:gridCol w:w="109"/>
        <w:gridCol w:w="109"/>
        <w:gridCol w:w="109"/>
        <w:gridCol w:w="109"/>
        <w:gridCol w:w="211"/>
        <w:gridCol w:w="790"/>
        <w:gridCol w:w="109"/>
        <w:gridCol w:w="109"/>
        <w:gridCol w:w="109"/>
        <w:gridCol w:w="109"/>
        <w:gridCol w:w="211"/>
        <w:gridCol w:w="685"/>
        <w:gridCol w:w="109"/>
        <w:gridCol w:w="109"/>
        <w:gridCol w:w="109"/>
        <w:gridCol w:w="109"/>
        <w:gridCol w:w="211"/>
        <w:gridCol w:w="790"/>
        <w:gridCol w:w="157"/>
      </w:tblGrid>
      <w:tr>
        <w:trPr/>
        <w:tc>
          <w:tcPr>
            <w:tcW w:w="102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Licensing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Licensing commissions settlement </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expenses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Adjusted operating (loss) income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Operations—Non-GAAP Financial Measures</w:t>
      </w:r>
      <w:r>
        <w:rPr>
          <w:color w:val="000000"/>
        </w:rPr>
        <w:t xml:space="preserve">” </w:t>
      </w:r>
      <w:r>
        <w:rPr>
          <w:rFonts w:ascii="Times New Roman;serif" w:hAnsi="Times New Roman;serif"/>
          <w:b w:val="false"/>
          <w:color w:val="000000"/>
          <w:sz w:val="20"/>
        </w:rPr>
        <w:t>for descriptions of the adjustments to reconcile net loss to Adjusted EBITDA, certain of which adjustments are listed in the table above and the descriptions used for the reconciliation of net loss to Adjusted EBITDA are also applicable for the table above.</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Direct-to-Consumer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Net Revenues and Gross Margin: </w:t>
      </w: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Operations—Results of Operations</w:t>
      </w:r>
      <w:r>
        <w:rPr>
          <w:color w:val="000000"/>
        </w:rPr>
        <w:t xml:space="preserve">” </w:t>
      </w:r>
      <w:r>
        <w:rPr>
          <w:rFonts w:ascii="Times New Roman;serif" w:hAnsi="Times New Roman;serif"/>
          <w:b w:val="false"/>
          <w:color w:val="000000"/>
          <w:sz w:val="20"/>
        </w:rPr>
        <w:t>for a discussion of changes in net revenues and gross profit in our Direct-to-Consumer segment from 2025 to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Operating Income (loss): </w:t>
      </w:r>
      <w:r>
        <w:rPr>
          <w:rFonts w:ascii="Times New Roman;serif" w:hAnsi="Times New Roman;serif"/>
          <w:b w:val="false"/>
          <w:color w:val="000000"/>
          <w:sz w:val="20"/>
        </w:rPr>
        <w:t>Direct-to-Consumer operating income improved by $2.9 million, from an operating loss of $1.3 million in the prior year comparative period, to operating income of $1.6 million for the six months ended June 30, 2026, primarily due to a $5.5 million increase in net revenues and a $4.4 million increase in gross profit, reflecting strong sales of full-price Honey Birdette products and improved gross margin, partially offset by an approximately $1.5 million increase in selling and administrative expenses related to the segment, primarily sales and marketing and store operating costs.</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Adjusted Operating Income (loss): </w:t>
      </w:r>
      <w:r>
        <w:rPr>
          <w:rFonts w:ascii="Times New Roman;serif" w:hAnsi="Times New Roman;serif"/>
          <w:b w:val="false"/>
          <w:color w:val="000000"/>
          <w:sz w:val="20"/>
        </w:rPr>
        <w:t>The change in adjusted operating income (loss), compared to the prior year comparative period, was primarily due to the change in operating income (loss) discussed above.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Licensing</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Net Revenues and Gross Margin: </w:t>
      </w: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Operations—Results of Operations</w:t>
      </w:r>
      <w:r>
        <w:rPr>
          <w:color w:val="000000"/>
        </w:rPr>
        <w:t xml:space="preserve">” </w:t>
      </w:r>
      <w:r>
        <w:rPr>
          <w:rFonts w:ascii="Times New Roman;serif" w:hAnsi="Times New Roman;serif"/>
          <w:b w:val="false"/>
          <w:color w:val="000000"/>
          <w:sz w:val="20"/>
        </w:rPr>
        <w:t xml:space="preserve">for a discussion of changes in net revenues and gross profit in our Licensing segment from 2025 to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Operating Income: </w:t>
      </w:r>
      <w:r>
        <w:rPr>
          <w:rFonts w:ascii="Times New Roman;serif" w:hAnsi="Times New Roman;serif"/>
          <w:b w:val="false"/>
          <w:color w:val="000000"/>
          <w:sz w:val="20"/>
        </w:rPr>
        <w:t>The increase in operating income, compared to the prior year comparative period, was primarily due to a $0.9 million increase in licensing gross profit, reflecting lower licensing commissions expense in cost of sales following the formation of the UTG China joint venture (the prior year comparative period included a one-time $2.4 million commission settlement) and a $2.1 million decrease in selling and administrative expenses allocated to the segment. The lower selling and administrative expenses were primarily attributable to $0.7 million of lower legal costs and $0.7 million of lower China licensing operating costs (staffing and general and administrative expenses) following the formation of the UTG China joint venture.</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Adjusted Operating Income:</w:t>
      </w:r>
      <w:r>
        <w:rPr>
          <w:color w:val="000000"/>
        </w:rPr>
        <w:t xml:space="preserve"> </w:t>
      </w:r>
      <w:r>
        <w:rPr>
          <w:rFonts w:ascii="Times New Roman;serif" w:hAnsi="Times New Roman;serif"/>
          <w:b w:val="false"/>
          <w:color w:val="000000"/>
          <w:sz w:val="20"/>
        </w:rPr>
        <w:t xml:space="preserve">Adjustments to licensing operating income for the six months ended June 30, 2026, related to termination expenses of $0.3 million attributable to our former China joint venture arrangements prior to the formation of the New China JV in the first quarter of 2026. Adjustments to licensing operating income for the six months ended June 30, 2025 related to a one-time settlement amount of $2.4 million to pay current and future commissions to a licensing agent in the second quarter of 2025, which was paid in the third quarter of 2025.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The decrease in corporate expenses, compared to the prior year comparative period, was primarily due to the non-recurrence of $1.8 million of prior-year impairment charges and $0.8 million of prior-year asset-disposal losses, and lower selling and administrative expenses, including $2.9 million of lower severance, $1.6 million of lower payroll, $0.6 million of lower professional and outside services, and $0.6 million of lower rent, together with a $0.8 million non-recurring release of a sales and use tax reserve. These improvements were partially offset by $2.9 million of transaction expenses recognized in the six months ended June 30, 2026 related to the formation of the China joint venture with UTG, a $1.3 million increase in stock-based compensation from new grants, $0.5 million of higher legal costs, and a $1.1 million increase in cost of sales related to the Spring 2026 issue of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and a revamped magazine subscription model launched in the second quarter of 2026 (net of a $1.3 million brand-expense reimbursement from UTG applied against cost of sales under the BSSA).</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The decrease in adjusted corporate expenses, compared to the prior year comparative period, was primarily due to $0.8 million favorable non-recurring release of a sales and use tax reserve, lower selling and administrative expenses, including $1.6 million of lower payroll and $0.6 million of lower rent, partly offset by a $1.1 million increase in cost of sales related to the Spring 2026 issue of </w:t>
      </w:r>
      <w:r>
        <w:rPr>
          <w:rFonts w:ascii="Times New Roman;serif" w:hAnsi="Times New Roman;serif"/>
          <w:b w:val="false"/>
          <w:i/>
          <w:color w:val="000000"/>
          <w:sz w:val="20"/>
        </w:rPr>
        <w:t>Playboy</w:t>
      </w:r>
      <w:r>
        <w:rPr>
          <w:color w:val="000000"/>
        </w:rPr>
        <w:t xml:space="preserve"> </w:t>
      </w:r>
      <w:r>
        <w:rPr>
          <w:rFonts w:ascii="Times New Roman;serif" w:hAnsi="Times New Roman;serif"/>
          <w:b w:val="false"/>
          <w:color w:val="000000"/>
          <w:sz w:val="20"/>
        </w:rPr>
        <w:t>magazine and a revamped magazine subscription model launched in the second quarter of 2026 (net of a $1.3 million brand-expense reimbursement from UTG applied against cost of sales under the BSSA).</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 Other</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 xml:space="preserve">Net Revenues and Gross Margin: </w:t>
      </w:r>
      <w:r>
        <w:rPr>
          <w:rFonts w:ascii="Times New Roman;serif" w:hAnsi="Times New Roman;serif"/>
          <w:b w:val="false"/>
          <w:color w:val="000000"/>
          <w:sz w:val="20"/>
        </w:rPr>
        <w:t>Refer to “</w:t>
      </w:r>
      <w:r>
        <w:rPr>
          <w:rFonts w:ascii="Times New Roman;serif" w:hAnsi="Times New Roman;serif"/>
          <w:b w:val="false"/>
          <w:i/>
          <w:color w:val="000000"/>
          <w:sz w:val="20"/>
        </w:rPr>
        <w:t>Item 2. Management’s Discussion and Analysis of Financial Condition and Results of Operations—Results of Operations</w:t>
      </w:r>
      <w:r>
        <w:rPr>
          <w:color w:val="000000"/>
        </w:rPr>
        <w:t xml:space="preserve">” </w:t>
      </w:r>
      <w:r>
        <w:rPr>
          <w:rFonts w:ascii="Times New Roman;serif" w:hAnsi="Times New Roman;serif"/>
          <w:b w:val="false"/>
          <w:color w:val="000000"/>
          <w:sz w:val="20"/>
        </w:rPr>
        <w:t>for a discussion of changes from 2025 to 2026 in net revenues and gross profit classified as All Other.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Operating Income (Loss): </w:t>
      </w:r>
      <w:r>
        <w:rPr>
          <w:rFonts w:ascii="Times New Roman;serif" w:hAnsi="Times New Roman;serif"/>
          <w:b w:val="false"/>
          <w:color w:val="000000"/>
          <w:sz w:val="20"/>
        </w:rPr>
        <w:t>The change from operating loss in the prior year comparative period to operating income, was due to the transition of our digital operations into a licensing model pursuant to the LMA and inclusion of $5 million of transition expenses pursuant to the TSA in the prior year comparative period, partly offset by lower amortization of deferred revenue balances that existed as of December 31, 2024 (prior to the LMA effective date of January 1, 2025) that pertain to our previously reported digital subscriptions and content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Adjusted Operating Income: </w:t>
      </w:r>
      <w:r>
        <w:rPr>
          <w:rFonts w:ascii="Times New Roman;serif" w:hAnsi="Times New Roman;serif"/>
          <w:b w:val="false"/>
          <w:color w:val="000000"/>
          <w:sz w:val="20"/>
        </w:rPr>
        <w:t>The decrease in adjusted operating income, compared to the prior year comparative period, was primarily due to lower amortization of deferred revenue balances that existed as of December 31, 2024 (prior to the LMA effective date of January 1, 2025) that pertain to our previously reported digital subscriptions and content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sources of liquidity are cash generated from operating activities, which primarily includes cash derived from revenue generating activities, from financing activities, including proceeds from our issuance of debt, and proceeds from stock offerings (as described further below), and from investing activities, which includes the sale of assets (as described further below). As of June 30, 2026, our principal source of liquidity was cash in the amount of $31.9 million, which is primarily held in operating and deposit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sold shares of our common stock pursuant to our previously registered and announced at-the-market offering (the “ATM”), selling a total of 2,051,498 shares for net proceeds of $2.8 million, out of which 56,255 shares were issued in July 2026. During the six months ended June 30, 2026, we sold 3,441,249 shares of our common stock under the ATM for net proceeds of $5.2 million. As of June 30, 2026, we had $194.4 million of remaining capacity under the ATM.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LMA entered into in December 2024, Byborg agreed to operate our Playboy Plus, Playboy TV (online and linear) and Playboy Club digital businesses and to license the right to use certain Playboy trademarks and other intellectual property for related businesses and certain other categories. Pursuant to the LMA, Byborg was also granted exclusive rights to use Playboy trademarks for certain new adult content services and digital products to be developed. The LMA has an initial term of 15 years, with the operations and license rights pursuant to the LMA commencing as of January 1, 2025, and the possibility for up to nine renewal terms of 10 years each, subject to the terms and conditions set forth in the LMA. Pursuant to the LMA, starting in 2025, Playboy began receiving minimum guaranteed royalties of $20.0 million per year of the term, which royalties are paid in installments during each year of the LMA’s term. In addition, Byborg prepaid the minimum guaranteed amount for the second half of year 15 of the initial term of the LMA. Playboy is also entitled to receive Excess Royalties from the businesses licensed and operated by Byborg, on the terms and conditions set forth in the LMA.</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2023, we began the sale of our art assets, and we continued the sale of our art assets in 2025. However, in the second quarter of 2026 we made a decision to cease sales of our artwork.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going public in 2021, we have incurred significant operating and net losses. However, during the three and six months ended June 30, 2026, our business performance continued to improve and we generated operating income of $3.0 million and $1.3 million, respectively. We continue to expect our capital expenditures and working capital requirements in 2026 to be largely consistent with 2025.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consequences of ongoing macroeconomic uncertainty could adversely affect our liquidity and capital resources in the future, and cash requirements may fluctuate based on the timing and extent of many factors, such as those discussed above, we believe our existing sources of liquidity will be sufficient to meet our obligations as they become due under the A&amp;R Credit Agreement and our other obligations for at least one year following the date of the filing of this Quarterly Report on Form 10-Q. We may seek additional equity or debt financing in the future to satisfy capital requirements, respond to adverse changes in our circumstances or unforeseen events, or fund growth opportunities. However, in the event that additional financing is required from third-party sources, we may not be able to raise it on acceptable terms or at all.</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2025, we entered into Amendment No. 5 (the “A&amp;R Fifth Amendment”) to our amended and restated senior secured credit agreement (the “A&amp;R Credit Agreement”). The A&amp;R Fifth Amendment revised the definition of Consolidated EBITDA in the A&amp;R Credit Agreement to allow for $2.4 million of non-cash rent expense related to our Miami Beach office lease to be added back when calculating such Consolidated EBITDA for applicable periods.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10, 2025, we entered into Amendment No. 6 to the A&amp;R Credit Agreement (the “A&amp;R Sixth Amendment”). The A&amp;R Sixth Amendment, among other things, (i) extended the maturity of the A&amp;R Credit Agreement to May 25, 2028, (ii) provided that the cash interest rate would be reduced by 0.15% or 0.50% in the event of certain prepayments of $25 million and $50 million, respectively (both of which did not occur), and (iii) provided that upon the first such prepayment made on the terms and conditions set forth in the A&amp;R Sixth Amendment, the total net leverage ratio would be set at 9.00:1.00 for the quarter ending June 30, 2026, and step down over time until the ratio reached 7.25:1.00 for the quarter ending December 31, 2027 and any subsequent quarter. The other terms of the A&amp;R Credit Agreement prior to the A&amp;R Sixth Amendment remain substantively unchanged.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we entered into Amendment No. 7 to the A&amp;R Credit Agreement (“A&amp;R Seventh Amendment”) to, substantially concurrently with the New China JV Initial Closing, amend the terms of the A&amp;R Credit Agreement, to, among other things: (i) permit the New China JV transactions, (ii) permit the contribution of certain intellectual property from us to the New China JV at the second closing pursuant to the Purchase Agreement, and (iii) provide for additional representations, covenants, and mandatory prepayments related to the New China JV transaction (including the entire $45,000,000 Purchase Price and an additional $6.666 million directly from us).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performed an assessment of the A&amp;R Seventh Amendment, on a lender-by-lender basis, and accounted for the transaction as a debt modification. As a result of the A&amp;R Seventh Amendment, fees of $0.3 million were expensed as incurred and recorded in Other income for the six months ended June 30, 2026, net and $0.2 million were capitalized in the first quarter of 2026 as a result of the A&amp;R Seventh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Repurchase Agreement, defined and described in Note 10, Stockholders’ Equity, we entered into Amendment No. 8 to the A&amp;R Credit Agreement (the “A&amp;R Eighth Amendment”) to obtain lender consent for the Repurchase Agreement and related backstop transactions. Refer to Note 17, Related Party Transactions, for additional details. The A&amp;R Eighth Amendment did not modify the pricing, maturity, or financial covenants of the A&amp;R Credit Agreement. Costs incurred in connection with the A&amp;R Eighth Amendment of approximately $0.1 million were recognized as other expense in our condensed consolidated statements of operations for the three months ended June 30, 2026.</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stated interest rate of each of Tranche A and Tranche B of the term loans under the A&amp;R Credit Agreement (the “A&amp;R Term Loans”) as of June 30, 2026 was 10.09%. The stated interest rate of each of Tranche A and Tranche B of the A&amp;R Term Loans as of December 31, 2025 was 10.08%. The effective interest rate of Tranche A and Tranche B of the A&amp;R Term Loans as of June 30, 2026 was 2.93% and 5.74%, respectively. The effective interest rate of Tranche A and Tranche B of the A&amp;R Term Loans as of December 31, 2025 was 3.88% and 6.34%, respectively.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applicable financial covenants under the terms of the A&amp;R Credit Agreement and its amendments as of June 30, 2026 and December 31, 2025.</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lease commitments are for office space and operations under several noncancelable operating leases with contractual terms expiring through 2033. Some of these leases contain renewal options and rent escalations. As of June 30, 2026 and December 31, 2025, our fixed leases were $21.4 million and $22.2 million, respectively, with $6.9 million and $7.4 million due in the next 12 months, respectively. We also have certain finance lease obligations; however, those are not material to our liquidity or capital resources.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11, 2025, through our wholly owned subsidiary, Playboy Enterprises, Inc., we entered into an operating lease (the “Lease”) with RK Rivani LLC (the “Landlord”) for approximately 20,169 square feet of office space in Miami Beach, Florida.</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amended the Lease to change the lease commencement date to January 1, 2027 and the expiration date to November 30, 2037. As we did not take possession of the office space as of June 30, 2026, it is not reflected in our condensed consolidated financial statements or in the tables below. The future undiscounted fixed non-cancelable payment obligation pertaining to the Lease is approximately $25.0 million.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14, 2026, we entered into a new operating lease (the “Additional Lease”) with the Landlord for the remainder of the same floor as the Lease, comprising an additional approximately 5,696 square feet, which commenced on May 1, 2026 and expires on November 30, 2037, subject to two five-year renewal options. In addition to base rent under the Additional Lease, we are responsible for operating expenses and property taxes. During the six months ended June 30, 2026, we recognized right-of-use assets of approximately $1.6 million in exchange for the related operating lease liability. The future undiscounted lease payments under the Additional Lease are approximately $6.9 million.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terminated certain operating leases for Honey Birdette retail stores prior to their contractual expiration dates. Upon termination of such leases, we derecognized the related right-of-use assets and operating lease liabilities of $0.6 million in our condensed consolidated balance sheet as of June 30, 2026, and we recognized a net loss of $0.1 million in Other income, net in our condensed consolidated statements of operations for the three and six months ended June 30, 2026.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our lease obligations, refer to Note 13, Commitments and Contingencies, of the Notes to our Condensed Consolidated Financial Statements included in Part I, Item 1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7958" w:type="dxa"/>
        <w:jc w:val="left"/>
        <w:tblInd w:w="0" w:type="dxa"/>
        <w:tblLayout w:type="fixed"/>
        <w:tblCellMar>
          <w:top w:w="28" w:type="dxa"/>
          <w:left w:w="28" w:type="dxa"/>
          <w:bottom w:w="28" w:type="dxa"/>
          <w:right w:w="28" w:type="dxa"/>
        </w:tblCellMar>
      </w:tblPr>
      <w:tblGrid>
        <w:gridCol w:w="976"/>
        <w:gridCol w:w="859"/>
        <w:gridCol w:w="864"/>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29"/>
        <w:gridCol w:w="229"/>
        <w:gridCol w:w="757"/>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Net cash (used in) provided by:</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over 150%</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over 150%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net cash used in operating activities for the six months ended June 30, 2026, compared to the prior year comparative period, was primarily due to a $13.0 million improvement in net loss, partially offset by a $7.5 million net decrease in non-cash reconciling items and a $2.4 million unfavorable change in operating assets and liabilities. The unfavorable change in working capital was primarily driven by a $6.9 million increase in accounts receivable, mainly reflecting the timing of royalty collections from licensees, and a $2.5 million unfavorable change in accrued agency fees and commissions following the settlement of licensing commissions in the prior year comparative period. Inventory provided $1.5 million of cash in the six months ended June 30, 2026, compared with $2.6 million in the prior year comparative period, a $1.1 million unfavorable change. Honey Birdette drew down its inventory balance less in the six months ended June 30, 2026 as it built stock in preparation for revenue growth, and reserves for slow-moving and obsolete inventory increased to $3.6 million as of June 30, 2026 from $3.3 million as of December 31, 2025. These changes were partially offset by a $3.8 million favorable change in accounts payable, reflecting the timing of vendor payments, and a $3.6 million favorable change in deferred revenues. Deferred revenues used $3.8 million of cash in the six months ended June 30, 2026, compared with $7.4 million in the prior year comparative period, as the prior year comparative period included a larger drawdown of deferred revenue balances that existed as of December 31, 2024 relating to our previously reported digital subscriptions and content operations, which were licensed to Byborg pursuant to the LMA, effective as of January 1, 2025.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decrease in non-cash charges was primarily driven by the elimination of $5.5 million in capitalized paid-in-kind interest that was present in the prior year comparative period and did not recur in the six months ended June 30, 2026. The decrease of $2.8 million in deferred income taxes was primarily due to the release of a valuation allowance against indefinite-lived deferred tax liabilities recognized in the prior year comparative period, partly offset by an increase in stock-based compensation expense of $1.3 million and a $1.6 million reduction in the amortization of debt premium, net and issuance costs due to the A&amp;R Seventh Amendment.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net cash provided by investing activities for the six months ended June 30, 2026, compared to the prior year comparative period, was primarily due to proceeds of $15.0 million received in connection with the initial closing of the New China JV transaction in the first quarter of 2026, partly offset by a $0.4 million increase in purchases of property and equipment, and $0.3 million in proceeds from the sale of our artwork in the prior year comparative period that did not recur in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net cash used in financing activities for the six months ended June 30, 2026, compared to the prior year comparative period, was primarily due to a $15.0 million repayment of long-term debt in connection with the initial closing of the New China JV transaction and payment of tax withholding in connection with vested restricted stock units of $1.8 million in the first quarter of 2026. The increase was further due to the $2.0 million repurchase of 1,904,762 shares of the Company’s common stock during the three months ended June 30, 2026, partially offset by $5.2 million of net proceeds from the issuance of shares of our common stock under the ATM and a noncontrolling interest capital contribution of $2.4 million received from UTG in April 2026.</w:t>
      </w:r>
    </w:p>
    <w:p>
      <w:pPr>
        <w:pStyle w:val="TextBody"/>
        <w:bidi w:val="0"/>
        <w:spacing w:before="2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Other than the remaining $15.4 million contractual obligation under the Repurchase Agreement entered into on June 18, 2026 (see Note 10, Stockholders’ Equity, and Note 17, Related Party Transactions), there were no material changes to our contractual obligations for the six months ended June 30, 2026 from December 31, 2025, as disclosed in our audited consolidated financial statements included in our</w:t>
      </w:r>
      <w:hyperlink r:id="rId13">
        <w:r>
          <w:rPr>
            <w:rStyle w:val="InternetLink"/>
            <w:color w:val="0000FF"/>
            <w:u w:val="single"/>
          </w:rPr>
          <w:t xml:space="preserve"> </w:t>
        </w:r>
      </w:hyperlink>
      <w:hyperlink r:id="rId1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filed on March 16,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interim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as of the date of the condensed consolidated financial statements, as well as the reported expenses incurred during the reporting periods. Estimates and judgments used in the preparation of our interim condensed consolidated financial statements are, by their nature, uncertain and unpredictable, and depend upon, among other things, many factors outside of our control, such as demand for our products, inflation, foreign currency exchange rates, economic conditions and other current and future events, such as the impact of public health crises and epidemics and global hostilities.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During the six months ended June 30, 2026, there were no material changes to our critical accounting policies or in the methodology used for estimates from those described in “Management’s Discussion and Analysis of Financial Condition and Results of Operations” included in our </w:t>
      </w:r>
      <w:hyperlink r:id="rId15">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filed with the SEC on March 16,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1, Basis of Presentation and Summary of Significant Accounting Policies, of the Notes to our Condensed Consolidated Financial Statements, included in Part I, Item 1 of this Quarterly Report on Form 10-Q for more information about recent accounting pronouncements, the timing of their adoption, and our assessment, to the extent we have made one, of their potential impact on our financial condition and results of operations.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a variety of market and other risks, including the effects of changes in interest rates, inflation, and foreign currency exchange rates, as well as risks to the availability of funding sources, hazard events, and specific asset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risk inherent in our financial instruments and our financial position represents the potential loss arising from adverse changes in interest rates. As of June 30, 2026 and December 31, 2025, we had cash of $31.9 million and $37.8 million, respectively, primarily held in interest-bearing deposit accounts for which the fair market value would be affected by changes in the general level of U.S. interest rates. As of June 30, 2026 and December 31, 2025, we had restricted cash of $5.3 million and $5.0 million, respectively, of which $4.1 million was held in interest-bearing deposit accounts. However, an immediate 10% change in interest rates would not have a material effect on the fair market value of our cash and restricted cash and cash equivalents.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maintain liquidity and fund business operations, our long-term A&amp;R Term Loans are subject to a variable interest rate based on prime, federal funds, or the secured overnight financing rates. The nature and amount of our long-term debt can be expected to vary as a result of future business requirements, market conditions, and other factors. We may elect to enter into interest rate swap contracts to reduce the impact associated with interest rate fluctuations, but as of June 30, 2026, we have not entered into any such contracts. </w:t>
      </w:r>
    </w:p>
    <w:p>
      <w:pPr>
        <w:pStyle w:val="TextBody"/>
        <w:bidi w:val="0"/>
        <w:spacing w:lineRule="auto" w:line="288" w:before="200" w:after="283"/>
        <w:ind w:left="0" w:right="0" w:firstLine="720"/>
        <w:jc w:val="both"/>
        <w:rPr/>
      </w:pPr>
      <w:r>
        <w:rPr>
          <w:rFonts w:ascii="Times New Roman;serif" w:hAnsi="Times New Roman;serif"/>
          <w:b w:val="false"/>
          <w:color w:val="000000"/>
          <w:sz w:val="20"/>
        </w:rPr>
        <w:t>As of June 30, 2026 and December 31, 2025, we had outstanding debt obligations of $144.9 million and $159.9 million, respectively, which accrued interest at a rate of 10.09% for Tranche A and Tranche B A&amp;R Term Loans as of June 30, 2026. Based on the balance outstanding under our A&amp;R Term Loans at June 30, 2026, we estimate that a 0.5% or 1% increase or decrease in underlying interest rates would increase or decrease annual interest expense by $0.7 million or $1.4 million, respectively, in any given fiscal year. See also our “Risk Factors—Risks Related to Our Business and Industry—</w:t>
      </w:r>
      <w:r>
        <w:rPr>
          <w:rFonts w:ascii="Times New Roman;serif" w:hAnsi="Times New Roman;serif"/>
          <w:b w:val="false"/>
          <w:i/>
          <w:color w:val="000000"/>
          <w:sz w:val="20"/>
        </w:rPr>
        <w:t>Our variable rate debt subjects us to interest rate risk that could cause our debt service obligations to increase significantly.</w:t>
      </w:r>
      <w:r>
        <w:rPr>
          <w:color w:val="000000"/>
        </w:rPr>
        <w:t xml:space="preserve">” </w:t>
      </w:r>
      <w:r>
        <w:rPr>
          <w:rFonts w:ascii="Times New Roman;serif" w:hAnsi="Times New Roman;serif"/>
          <w:b w:val="false"/>
          <w:color w:val="000000"/>
          <w:sz w:val="20"/>
        </w:rPr>
        <w:t xml:space="preserve">included in Item 1A of our </w:t>
      </w:r>
      <w:hyperlink r:id="rId16">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filed on March 16,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transact business in various foreign currencies and have significant international revenues, as well as costs denominated in foreign currencies other than the U.S. dollar, primarily the Australian dollar and Chinese renminbi. Accordingly, changes in exchange rates, and in particular a strengthening of the U.S. dollar, have in the past, and may in the future, negatively affect our revenue and other operating results as expressed in U.S. dollars. For the three months ended June 30, 2026 and 2025, we derived approximately 69% of our revenue from international customers for both periods, out of which 62% and 45%, respectively, was denominated in foreign currency. For the six months ended June 30, 2026 and 2025, we derived approximately 67% of our revenue from outside the United States for both periods, out of which 61% and 44%, respectively, was denominated in foreign currency. We expect the percentage of revenue derived from outside the United States to increase in future periods as we continue to expand globally. Revenue and related expenses generated from our international operations (other than most international licenses) are denominated in the functional currencies of the corresponding country. The functional currency of our subsidiaries that either operate in or support these markets is generally the same as the corresponding local currency. The majority of our international licenses are denominated in U.S. dollars. The results of operations of, and certain of our intercompany balances associated with, our international operations are exposed to foreign exchange rate fluctuations. Upon consolidation, as exchange rates vary, our revenue and other operating results may differ materially from expectations, and we may record significant gains or losses on the remeasurement of intercompany balances. We do not have an active foreign exchange hedging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factors impacting the amount by which our financial results are affected by foreign currency translation and transaction gains and losses resulting from changes in currency exchange rates, including, but not limited to, the volume of foreign currency-denominated transactions in a given period. Foreign currency transaction exposure from a 10% movement of currency exchange rates would have a material impact on our results, assuming no foreign currency hedging. For the three and six months ended June 30, 2026, we recorded an unrealized gain of $0.1 million and $0.7 million, respectively, which is included in accumulated other comprehensive loss as of June 30, 2026. This was primarily related to the strengthening of the Australian dollar against the U.S. dollar during the three and six months ended June 30, 2026.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00" w:after="283"/>
        <w:ind w:left="0" w:right="0" w:firstLine="720"/>
        <w:jc w:val="both"/>
        <w:rPr/>
      </w:pPr>
      <w:r>
        <w:rPr>
          <w:rFonts w:ascii="Times New Roman;serif" w:hAnsi="Times New Roman;serif"/>
          <w:b w:val="false"/>
          <w:color w:val="000000"/>
          <w:sz w:val="20"/>
        </w:rPr>
        <w:t>Inflationary factors such as increases in the cost of our product and overhead costs may adversely affect our operating results. Although we do not believe that inflation has had a material impact on our financial position or results of operations in recent periods, a high rate of inflation in the future may have an adverse effect on our ability to maintain or improve current levels of revenue, gross margin and selling and administrative expenses, or the ability of our customers to make discretionary purchases of our goods and services. See our “Risk Factors—Risks Related to Our Business and Industry—</w:t>
      </w:r>
      <w:r>
        <w:rPr>
          <w:rFonts w:ascii="Times New Roman;serif" w:hAnsi="Times New Roman;serif"/>
          <w:b w:val="false"/>
          <w:i/>
          <w:color w:val="000000"/>
          <w:sz w:val="20"/>
        </w:rPr>
        <w:t>Our business depends on consumer purchases of discretionary goods and content, which can be negatively impacted during an economic downturn or periods of inflation. This could materially impact our sales, profitability and financial condition,</w:t>
      </w:r>
      <w:r>
        <w:rPr>
          <w:color w:val="000000"/>
        </w:rPr>
        <w:t xml:space="preserve">” </w:t>
      </w:r>
      <w:r>
        <w:rPr>
          <w:rFonts w:ascii="Times New Roman;serif" w:hAnsi="Times New Roman;serif"/>
          <w:b w:val="false"/>
          <w:color w:val="000000"/>
          <w:sz w:val="20"/>
        </w:rPr>
        <w:t xml:space="preserve">included in Item 1A of our </w:t>
      </w:r>
      <w:hyperlink r:id="rId17">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filed on March 16,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and supervision of our Chief Executive Officer and our Chief Financial Officer, has evaluated our disclosure controls and procedures (as defined in Rules 13a-15(e) and 15d-15(e) under the Securities Exchange Act of 1934, as amended)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were not effective; however, we have made demonstrable progress in remediating those material weaknesses in our internal control over financial reporting, as described below.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been actively remediating our material weaknesses with the guidance of a global accounting and consulting firm, and the results of those efforts are reflected in this disclosure. Our material weaknesses will not be considered fully remediated until the applicable controls have operated for a sufficient period of time and our management concludes, following testing, that such controls are operating effectively. We intend to reach that conclusion as expeditiously as possible.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identified the following areas where material weaknesses in its internal control over financial reporting previously existed and where the Company has achieved demonstrable remediation progress:</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Control</w:t>
      </w:r>
      <w:r>
        <w:rPr>
          <w:color w:val="000000"/>
          <w:shd w:fill="FFFFFF" w:val="clear"/>
        </w:rPr>
        <w:t xml:space="preserve"> </w:t>
      </w:r>
      <w:r>
        <w:rPr>
          <w:rFonts w:ascii="Times New Roman;serif" w:hAnsi="Times New Roman;serif"/>
          <w:b w:val="false"/>
          <w:i/>
          <w:color w:val="000000"/>
          <w:sz w:val="20"/>
          <w:shd w:fill="FFFFFF" w:val="clear"/>
        </w:rPr>
        <w:t>Environment, Risk Assessment, and Monitoring</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to make strides in strengthening our entity-level controls across the control environment, risk assessment procedures, and monitoring functions. While prior periods reflected deficiencies in these areas, we have undertaken remediation efforts, including establishing clearer organizational structure and accountability, building out a qualified internal controls department, and implementing enhanced oversight mechanisms designed to prevent or detect material misstatements to our condensed consolidated financial statements. We have meaningfully improved our risk identification and assessment processes and have made progress in evaluating whether the components of internal control are present and function effectively.</w:t>
      </w:r>
    </w:p>
    <w:p>
      <w:pPr>
        <w:pStyle w:val="TextBody"/>
        <w:bidi w:val="0"/>
        <w:spacing w:lineRule="auto" w:line="288" w:before="200" w:after="283"/>
        <w:ind w:left="0" w:right="0" w:firstLine="720"/>
        <w:jc w:val="both"/>
        <w:rPr/>
      </w:pPr>
      <w:r>
        <w:rPr>
          <w:rFonts w:ascii="Times New Roman;serif" w:hAnsi="Times New Roman;serif"/>
          <w:b w:val="false"/>
          <w:i/>
          <w:color w:val="000000"/>
          <w:sz w:val="20"/>
        </w:rPr>
        <w:t>Control</w:t>
      </w:r>
      <w:r>
        <w:rPr>
          <w:color w:val="000000"/>
          <w:shd w:fill="FFFFFF" w:val="clear"/>
        </w:rPr>
        <w:t xml:space="preserve"> </w:t>
      </w:r>
      <w:r>
        <w:rPr>
          <w:rFonts w:ascii="Times New Roman;serif" w:hAnsi="Times New Roman;serif"/>
          <w:b w:val="false"/>
          <w:i/>
          <w:color w:val="000000"/>
          <w:sz w:val="20"/>
          <w:shd w:fill="FFFFFF" w:val="clear"/>
        </w:rPr>
        <w:t>Activities and Information and Communication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directed focused remediation efforts on the following areas for which material weaknesses were previously identified, and on which we have achieved measurable progress:</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We have advanced the design and implementation of general information technology controls across program change management, user access, and segregation of duties for systems supporting our internal control processes. We have strengthened our automated process-level controls, which has meaningfully improved the reliability of manual controls dependent on information technology-derived data. </w:t>
      </w:r>
    </w:p>
    <w:p>
      <w:pPr>
        <w:pStyle w:val="TextBody"/>
        <w:bidi w:val="0"/>
        <w:spacing w:before="0" w:after="0"/>
        <w:ind w:left="0" w:right="0" w:hanging="36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We have made progress in designing, implementing, and documenting formal accounting policies, procedures, and controls across our key business processes to support timely, complete, and accurate financial accounting, reporting, and disclosures. We have enhanced our corporate-level oversight controls to provide a more appropriate level of precision and supervision over business process activities and related controls.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We have redesigned and implemented management review controls over complex accounting areas and disclosures, including asset impairments, revenue contracts, income tax, stock-based compensation, leases, debt amendments, and preferred stock accounting.</w:t>
      </w:r>
    </w:p>
    <w:p>
      <w:pPr>
        <w:pStyle w:val="TextBody"/>
        <w:bidi w:val="0"/>
        <w:spacing w:before="0" w:after="0"/>
        <w:ind w:left="0" w:right="0" w:hanging="360"/>
        <w:jc w:val="both"/>
        <w:rPr/>
      </w:pPr>
      <w:r>
        <w:rPr/>
      </w:r>
    </w:p>
    <w:p>
      <w:pPr>
        <w:pStyle w:val="TextBody"/>
        <w:bidi w:val="0"/>
        <w:spacing w:lineRule="auto" w:line="261"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We have redesigned and implemented controls over the existence, accuracy, completeness, valuation and cutoff of inventory, representing an improvement over prior control in this area.</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weaknesses described above did not result in any material misstatement of our condensed consolidated financial statements for the periods presented.</w:t>
      </w:r>
    </w:p>
    <w:p>
      <w:pPr>
        <w:pStyle w:val="TextBody"/>
        <w:bidi w:val="0"/>
        <w:spacing w:lineRule="auto" w:line="288" w:before="20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Remediation Efforts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made progress in designing and implementing effective internal control measures to improve our internal control over financial reporting and remediate the identified material weaknesses. Our ongoing internal control remediation efforts include the following:</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We successfully hired additional qualified accounting resources to oversee risk assessment procedures and drive remedial actions over internal controls, meaningfully strengthening our overall control environment.</w:t>
      </w:r>
    </w:p>
    <w:p>
      <w:pPr>
        <w:pStyle w:val="TextBody"/>
        <w:bidi w:val="0"/>
        <w:spacing w:lineRule="auto" w:line="256"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have substantially completed the reassessment and formalization of our accounting and information technology policies relating to security and change management controls, establishing a more robust and sustainable control framework.</w:t>
      </w:r>
    </w:p>
    <w:p>
      <w:pPr>
        <w:pStyle w:val="TextBody"/>
        <w:bidi w:val="0"/>
        <w:spacing w:before="0" w:after="0"/>
        <w:ind w:left="0" w:right="0" w:hanging="36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We engaged an outside firm to assist us with reviewing our current processes, procedures, and systems, and we have acted on the resulting recommendations, enhancing control design to address relevant risks and implementing protocols to retain sufficient documentary evidence of the operating effectiveness of such controls.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progress we have achieved above, we are continuing to advance the following activities, which are well underway:</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Continuing to enhance and formalize our accounting, business operations, and information technology policies, procedures, and controls to achieve complete, accurate, and timely financial accounting, reporting, and disclosures, with significant foundational work already completed.</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Establishing effective general controls over our accounting and operating systems to ensure that our automated process-level controls and information produced and maintained in our information technology systems are relevant and reliable, with certain key system control improvements already implemented.</w:t>
      </w:r>
    </w:p>
    <w:p>
      <w:pPr>
        <w:pStyle w:val="TextBody"/>
        <w:bidi w:val="0"/>
        <w:spacing w:before="0" w:after="0"/>
        <w:ind w:left="0" w:right="0" w:hanging="36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Designing and implementing controls that address the completeness and accuracy of underlying data used in the performance of controls over accounting transactions and disclosures, with initial phases of this work substantially complete.</w:t>
      </w:r>
    </w:p>
    <w:p>
      <w:pPr>
        <w:pStyle w:val="TextBody"/>
        <w:bidi w:val="0"/>
        <w:spacing w:before="0" w:after="0"/>
        <w:ind w:left="0" w:right="0" w:hanging="36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Enhancing our policies and procedures to retain adequate documentary evidence for management review controls, including precision of review and evidence of procedures performed, an area where we have already achieved improvements in documentation standards.</w:t>
      </w:r>
    </w:p>
    <w:p>
      <w:pPr>
        <w:pStyle w:val="TextBody"/>
        <w:bidi w:val="0"/>
        <w:spacing w:before="0" w:after="0"/>
        <w:ind w:left="0" w:right="0" w:hanging="360"/>
        <w:jc w:val="both"/>
        <w:rPr/>
      </w:pPr>
      <w:r>
        <w:rPr/>
      </w:r>
    </w:p>
    <w:p>
      <w:pPr>
        <w:pStyle w:val="TextBody"/>
        <w:bidi w:val="0"/>
        <w:spacing w:lineRule="auto" w:line="256"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Developing monitoring controls and protocols that allow us to timely assess the design and operating effectiveness of our controls over financial reporting and make necessary changes to the design of controls, if any.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remediation program reflects a strong, organization-wide commitment to build a sustainable and effective internal control environment. While continued validation and testing over sustained financial reporting cycles remain necessary to fully demonstrate remediation, we remain committed to the continuous improvement of our internal control over financial reporting.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above, we are in the process of implementing changes to our internal control over financial reporting to remediate the material weaknesses described herein. 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We are party to pending litigation and claims in connection with the ordinary course of our business. We make provisions for estimated losses to be incurred in such litigation and claims, including legal costs, and we believe such provisions are adequate. Refer to Note 13, Commitments and Contingencies—Legal Contingencies, of the Notes to our Condensed Consolidated Financial Statements, included in Part I, Item 1 of this Quarterly Report on Form 10-Q for a summary of material legal proceedings, in addition to Part I, Item 3, “Legal Proceedings” of our </w:t>
      </w:r>
      <w:hyperlink r:id="rId18">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filed with the SEC on March 16,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 addition to the other information set forth in this Quarterly Report on Form 10-Q, please carefully consider the risk factors described under the heading “Part I – Item 1A. Risk Factors” in our most recent </w:t>
      </w:r>
      <w:hyperlink r:id="rId19">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 xml:space="preserve">for the fiscal year ended December 31, 2025. Such risks described are not the only risks facing us. Additional risks and uncertainties not currently known to us, or that our management currently deems to be immaterial, also may adversely affect our business, financial condition and/or operating results. There have been no material changes to the risk factors since their disclosure in our most recent </w:t>
      </w:r>
      <w:hyperlink r:id="rId20">
        <w:r>
          <w:rPr>
            <w:rStyle w:val="InternetLink"/>
            <w:rFonts w:ascii="Times New Roman;serif" w:hAnsi="Times New Roman;serif"/>
            <w:b w:val="false"/>
            <w:color w:val="0000FF"/>
            <w:sz w:val="20"/>
            <w:u w:val="single"/>
          </w:rPr>
          <w:t>Annual Report on Form 10-K</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Repurchases of Equity Securities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the share repurchases made by the Company during the second quarter of 2026. All repurchased shares became treasury shares of the Company.</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3"/>
        <w:gridCol w:w="433"/>
        <w:gridCol w:w="435"/>
        <w:gridCol w:w="508"/>
        <w:gridCol w:w="508"/>
        <w:gridCol w:w="509"/>
        <w:gridCol w:w="337"/>
        <w:gridCol w:w="841"/>
        <w:gridCol w:w="174"/>
        <w:gridCol w:w="905"/>
        <w:gridCol w:w="905"/>
        <w:gridCol w:w="908"/>
        <w:gridCol w:w="468"/>
        <w:gridCol w:w="2432"/>
        <w:gridCol w:w="34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Month of Second Quarter of 2026</w:t>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Average Price Paid Per Share</w:t>
            </w:r>
            <w:r>
              <w:rPr>
                <w:rFonts w:ascii="Times New Roman;serif" w:hAnsi="Times New Roman;serif"/>
                <w:b/>
                <w:color w:val="000000"/>
                <w:sz w:val="13"/>
              </w:rPr>
              <w:t>(1)</w:t>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Approximate Dollar Value of Shares That May Yet Be Purchased Under the Plans or Programs</w:t>
            </w:r>
            <w:r>
              <w:rPr>
                <w:rFonts w:ascii="Times New Roman;serif" w:hAnsi="Times New Roman;serif"/>
                <w:b/>
                <w:color w:val="000000"/>
                <w:sz w:val="13"/>
              </w:rPr>
              <w:t>(3)</w:t>
            </w:r>
          </w:p>
        </w:tc>
      </w:tr>
      <w:tr>
        <w:trPr/>
        <w:tc>
          <w:tcPr>
            <w:tcW w:w="13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April 30</w:t>
            </w:r>
          </w:p>
        </w:tc>
        <w:tc>
          <w:tcPr>
            <w:tcW w:w="15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May 31</w:t>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June 30</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1,904,762</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1,904,762</w:t>
            </w:r>
          </w:p>
        </w:tc>
        <w:tc>
          <w:tcPr>
            <w:tcW w:w="2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15,419,007 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for Quarter</w:t>
            </w:r>
          </w:p>
        </w:tc>
        <w:tc>
          <w:tcPr>
            <w:tcW w:w="15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1,904,762</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1,904,762</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15,419,007</w:t>
            </w:r>
            <w:r>
              <w:rPr>
                <w:color w:val="000000"/>
              </w:rPr>
              <w:t>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Excludes any transaction fees or expenses paid in connection with the repurchase of the shares.</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On June 18, 2026 (the “Effective Date”), we entered into a stock repurchase agreement with the sellers that are party thereto (the “Sellers”, and such agreement, the “Repurchase Agreement”). The Repurchase Agreement and related matters were publicly disclosed, on June 22, 2026, in a Current Report on Form 8-K we filed with the SEC. Under the terms of the Repurchase Agreement, we will purchase a total of 16,589,531 shares of our common stock, representing 100% of Company common stock beneficially owned by the Sellers as of the Effective Date, at a price of $1.05 per share, for a total purchase price of $17,419,007.55.</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Amounts represent the approximate dollar value of the maximum dollar value of shares that may yet be purchased under the Repurchase Agreement as of the end of the applicable period.</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2026, pursuant to the terms of the 2021 merger agreement for the acquisition of GlowUp Digital Inc. (the “GlowUp Agreement”), we released an aggregate of 249,116 shares of our common stock (based on a price of $23.4624 per share, per the terms of the GlowUp Agreement) to the holders of the former GlowUp Digital, Inc.’s equity securities that were accredited investors, which shares were a portion of the acquisition consideration that we held back to cover potential indemnification obligations of such investors. As no indemnification obligations were required to be covered by such holdback, the entirety of the holdback was released. The issuance of such shares was exempt from registration pursuant to Section 4(a)(2) of the Securities Act of 1933, as amended, for transactions not involving a public offering, as such issuance was pursuant to a private placement to accredited investors. No additional transaction proceeds were paid to us in connection with the release of the acquisition consideration holdback.</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 10b5-1 Trading Plans or Changes to Director Nomination Procedures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Rule 10b5</w:t>
        <w:noBreakHyphen/>
        <w:t>1 plans or non-Rule 10b5-1 trading arrangements were adopted, modified or terminated by officers or directors of the Company, nor were there any material changes to the procedures by which security holders may recommend nominees to the Company’s board of directors, during the quarter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40"/>
        <w:gridCol w:w="2606"/>
        <w:gridCol w:w="372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E32E1"/>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left"/>
              <w:rPr/>
            </w:pPr>
            <w:hyperlink r:id="rId22">
              <w:r>
                <w:rPr>
                  <w:rStyle w:val="InternetLink"/>
                  <w:rFonts w:ascii="Times New Roman;serif" w:hAnsi="Times New Roman;serif"/>
                  <w:b w:val="false"/>
                  <w:color w:val="0000FF"/>
                  <w:sz w:val="20"/>
                  <w:u w:val="single"/>
                </w:rPr>
                <w:t>Second Amended and Restated Certificate of Incorporation of the Company (incorporated by reference to Exhibit 3.1 of the Company’s Current Report on Form 8-K filed with the SEC on February 16,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Certificate of Amendment to the Second Amended and Restated Certificate of Incorporation of Playboy, Inc. (incorporated by reference to Exhibit 3.1 of Playboy’s Form 8-K filed with the SEC on June 25,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6">
              <w:r>
                <w:rPr>
                  <w:rStyle w:val="InternetLink"/>
                  <w:rFonts w:ascii="Times New Roman;serif" w:hAnsi="Times New Roman;serif"/>
                  <w:b w:val="false"/>
                  <w:color w:val="0000FF"/>
                  <w:sz w:val="20"/>
                  <w:u w:val="single"/>
                </w:rPr>
                <w:t>Certificate of Designation of the Series B Convertible Preferred Stock (incorporated by reference to Exhibit 3.1 of the Company’s Current Report on Form 8-K filed with the SEC on November 14,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8">
              <w:r>
                <w:rPr>
                  <w:rStyle w:val="InternetLink"/>
                  <w:rFonts w:ascii="Times New Roman;serif" w:hAnsi="Times New Roman;serif"/>
                  <w:b w:val="false"/>
                  <w:color w:val="0000FF"/>
                  <w:sz w:val="20"/>
                  <w:u w:val="single"/>
                </w:rPr>
                <w:t>Second Amended and Restated Bylaws of Playboy, Inc. (incorporated by reference to Exhibit 3.2 of Playboy’s Form 8-K filed with the SEC on June 25,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80"/>
                  <w:sz w:val="20"/>
                  <w:u w:val="single"/>
                </w:rPr>
                <w:t>10.</w:t>
              </w:r>
            </w:hyperlink>
            <w:hyperlink r:id="rId30">
              <w:r>
                <w:rPr>
                  <w:rStyle w:val="InternetLink"/>
                  <w:rFonts w:ascii="Times New Roman;serif" w:hAnsi="Times New Roman;serif"/>
                  <w:b w:val="false"/>
                  <w:color w:val="000080"/>
                  <w:sz w:val="20"/>
                  <w:u w:val="single"/>
                </w:rPr>
                <w:t>1</w:t>
              </w:r>
            </w:hyperlink>
            <w:hyperlink r:id="rId31">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Form of Retention Agreement of Playboy, Inc., dated as of April 10, 2026 (incorporated by reference to Exhibit 10.1 of the Company’s Form 8-K filed with the SEC on April 10,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80"/>
                  <w:sz w:val="20"/>
                  <w:u w:val="single"/>
                </w:rPr>
                <w:t>1</w:t>
              </w:r>
            </w:hyperlink>
            <w:hyperlink r:id="rId34">
              <w:r>
                <w:rPr>
                  <w:rStyle w:val="InternetLink"/>
                  <w:rFonts w:ascii="Times New Roman;serif" w:hAnsi="Times New Roman;serif"/>
                  <w:b w:val="false"/>
                  <w:color w:val="000080"/>
                  <w:sz w:val="20"/>
                  <w:u w:val="single"/>
                </w:rPr>
                <w:t>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80"/>
                  <w:sz w:val="20"/>
                  <w:u w:val="single"/>
                </w:rPr>
                <w:t>Lease Amendment, dated May 14, 2026, by and between Playboy Enterprises, Inc. and RK Rivani LLC</w:t>
              </w:r>
            </w:hyperlink>
            <w:hyperlink r:id="rId36">
              <w:r>
                <w:rPr>
                  <w:rStyle w:val="InternetLink"/>
                  <w:rFonts w:ascii="Times New Roman;serif" w:hAnsi="Times New Roman;serif"/>
                  <w:b w:val="false"/>
                  <w:color w:val="000080"/>
                  <w:sz w:val="20"/>
                  <w:u w:val="single"/>
                </w:rPr>
                <w:t xml:space="preserve"> (inco</w:t>
              </w:r>
            </w:hyperlink>
            <w:hyperlink r:id="rId37">
              <w:r>
                <w:rPr>
                  <w:rStyle w:val="InternetLink"/>
                  <w:rFonts w:ascii="Times New Roman;serif" w:hAnsi="Times New Roman;serif"/>
                  <w:b w:val="false"/>
                  <w:color w:val="000080"/>
                  <w:sz w:val="20"/>
                  <w:u w:val="single"/>
                </w:rPr>
                <w:t>rporated by reference to Exhibit 10.1 of the Company</w:t>
              </w:r>
            </w:hyperlink>
            <w:hyperlink r:id="rId38">
              <w:r>
                <w:rPr>
                  <w:rStyle w:val="InternetLink"/>
                  <w:rFonts w:ascii="Times New Roman;serif" w:hAnsi="Times New Roman;serif"/>
                  <w:b w:val="false"/>
                  <w:color w:val="000080"/>
                  <w:sz w:val="20"/>
                  <w:u w:val="single"/>
                </w:rPr>
                <w:t>’</w:t>
              </w:r>
            </w:hyperlink>
            <w:hyperlink r:id="rId39">
              <w:r>
                <w:rPr>
                  <w:rStyle w:val="InternetLink"/>
                  <w:rFonts w:ascii="Times New Roman;serif" w:hAnsi="Times New Roman;serif"/>
                  <w:b w:val="false"/>
                  <w:color w:val="000080"/>
                  <w:sz w:val="20"/>
                  <w:u w:val="single"/>
                </w:rPr>
                <w:t>s Form 8-K filed with the SEC on May 15,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val="false"/>
                  <w:color w:val="000080"/>
                  <w:sz w:val="20"/>
                  <w:u w:val="single"/>
                </w:rPr>
                <w:t>1</w:t>
              </w:r>
            </w:hyperlink>
            <w:hyperlink r:id="rId41">
              <w:r>
                <w:rPr>
                  <w:rStyle w:val="InternetLink"/>
                  <w:rFonts w:ascii="Times New Roman;serif" w:hAnsi="Times New Roman;serif"/>
                  <w:b w:val="false"/>
                  <w:color w:val="000080"/>
                  <w:sz w:val="20"/>
                  <w:u w:val="single"/>
                </w:rPr>
                <w:t>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80"/>
                  <w:sz w:val="20"/>
                  <w:u w:val="single"/>
                </w:rPr>
                <w:t>Additional Lease, dated May 14, 2026, by and between Playboy Enterprises, Inc. and RK Rivani LLC</w:t>
              </w:r>
            </w:hyperlink>
            <w:hyperlink r:id="rId43">
              <w:r>
                <w:rPr>
                  <w:rStyle w:val="InternetLink"/>
                  <w:rFonts w:ascii="Times New Roman;serif" w:hAnsi="Times New Roman;serif"/>
                  <w:b w:val="false"/>
                  <w:color w:val="000080"/>
                  <w:sz w:val="20"/>
                  <w:u w:val="single"/>
                </w:rPr>
                <w:t xml:space="preserve"> </w:t>
              </w:r>
            </w:hyperlink>
            <w:hyperlink r:id="rId44">
              <w:r>
                <w:rPr>
                  <w:rStyle w:val="InternetLink"/>
                  <w:rFonts w:ascii="Times New Roman;serif" w:hAnsi="Times New Roman;serif"/>
                  <w:b w:val="false"/>
                  <w:color w:val="000080"/>
                  <w:sz w:val="20"/>
                  <w:u w:val="single"/>
                </w:rPr>
                <w:t>(incorporated by reference to Exhibit 10.</w:t>
              </w:r>
            </w:hyperlink>
            <w:hyperlink r:id="rId45">
              <w:r>
                <w:rPr>
                  <w:rStyle w:val="InternetLink"/>
                  <w:rFonts w:ascii="Times New Roman;serif" w:hAnsi="Times New Roman;serif"/>
                  <w:b w:val="false"/>
                  <w:color w:val="000080"/>
                  <w:sz w:val="20"/>
                  <w:u w:val="single"/>
                </w:rPr>
                <w:t>2</w:t>
              </w:r>
            </w:hyperlink>
            <w:hyperlink r:id="rId46">
              <w:r>
                <w:rPr>
                  <w:rStyle w:val="InternetLink"/>
                  <w:rFonts w:ascii="Times New Roman;serif" w:hAnsi="Times New Roman;serif"/>
                  <w:b w:val="false"/>
                  <w:color w:val="000080"/>
                  <w:sz w:val="20"/>
                  <w:u w:val="single"/>
                </w:rPr>
                <w:t xml:space="preserve"> of the Company’s Form 8-K filed with the SEC on May 15,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80"/>
                  <w:sz w:val="20"/>
                  <w:u w:val="single"/>
                </w:rPr>
                <w:t>Amendment to the Playboy, Inc. Amended &amp; Restated 2021 Equity Incentive Compensation Plan, effective as of June 16, 2026</w:t>
              </w:r>
            </w:hyperlink>
            <w:hyperlink r:id="rId49">
              <w:r>
                <w:rPr>
                  <w:rStyle w:val="InternetLink"/>
                  <w:rFonts w:ascii="Times New Roman;serif" w:hAnsi="Times New Roman;serif"/>
                  <w:b w:val="false"/>
                  <w:color w:val="000080"/>
                  <w:sz w:val="20"/>
                  <w:u w:val="single"/>
                </w:rPr>
                <w:t xml:space="preserve"> (incorpo</w:t>
              </w:r>
            </w:hyperlink>
            <w:hyperlink r:id="rId50">
              <w:r>
                <w:rPr>
                  <w:rStyle w:val="InternetLink"/>
                  <w:rFonts w:ascii="Times New Roman;serif" w:hAnsi="Times New Roman;serif"/>
                  <w:b w:val="false"/>
                  <w:color w:val="000080"/>
                  <w:sz w:val="20"/>
                  <w:u w:val="single"/>
                </w:rPr>
                <w:t>r</w:t>
              </w:r>
            </w:hyperlink>
            <w:hyperlink r:id="rId51">
              <w:r>
                <w:rPr>
                  <w:rStyle w:val="InternetLink"/>
                  <w:rFonts w:ascii="Times New Roman;serif" w:hAnsi="Times New Roman;serif"/>
                  <w:b w:val="false"/>
                  <w:color w:val="000080"/>
                  <w:sz w:val="20"/>
                  <w:u w:val="single"/>
                </w:rPr>
                <w:t>ated by reference to Exhibit 10.1 of the Company</w:t>
              </w:r>
            </w:hyperlink>
            <w:hyperlink r:id="rId52">
              <w:r>
                <w:rPr>
                  <w:rStyle w:val="InternetLink"/>
                  <w:rFonts w:ascii="Times New Roman;serif" w:hAnsi="Times New Roman;serif"/>
                  <w:b w:val="false"/>
                  <w:color w:val="000080"/>
                  <w:sz w:val="20"/>
                  <w:u w:val="single"/>
                </w:rPr>
                <w:t>’</w:t>
              </w:r>
            </w:hyperlink>
            <w:hyperlink r:id="rId53">
              <w:r>
                <w:rPr>
                  <w:rStyle w:val="InternetLink"/>
                  <w:rFonts w:ascii="Times New Roman;serif" w:hAnsi="Times New Roman;serif"/>
                  <w:b w:val="false"/>
                  <w:color w:val="000080"/>
                  <w:sz w:val="20"/>
                  <w:u w:val="single"/>
                </w:rPr>
                <w:t xml:space="preserve">s </w:t>
              </w:r>
            </w:hyperlink>
            <w:hyperlink r:id="rId54">
              <w:r>
                <w:rPr>
                  <w:rStyle w:val="InternetLink"/>
                  <w:rFonts w:ascii="Times New Roman;serif" w:hAnsi="Times New Roman;serif"/>
                  <w:b w:val="false"/>
                  <w:color w:val="000080"/>
                  <w:sz w:val="20"/>
                  <w:u w:val="single"/>
                </w:rPr>
                <w:t>Form 8-K filed with the SEC on July 17,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80"/>
                  <w:sz w:val="20"/>
                  <w:u w:val="single"/>
                </w:rPr>
                <w:t>Stock Repurchase Agreement, dated June 18, 2026, by and among the Company and the sellers party thereto</w:t>
              </w:r>
            </w:hyperlink>
            <w:hyperlink r:id="rId57">
              <w:r>
                <w:rPr>
                  <w:rStyle w:val="InternetLink"/>
                  <w:rFonts w:ascii="Times New Roman;serif" w:hAnsi="Times New Roman;serif"/>
                  <w:b w:val="false"/>
                  <w:color w:val="000080"/>
                  <w:sz w:val="20"/>
                  <w:u w:val="single"/>
                </w:rPr>
                <w:t xml:space="preserve"> (inco</w:t>
              </w:r>
            </w:hyperlink>
            <w:hyperlink r:id="rId58">
              <w:r>
                <w:rPr>
                  <w:rStyle w:val="InternetLink"/>
                  <w:rFonts w:ascii="Times New Roman;serif" w:hAnsi="Times New Roman;serif"/>
                  <w:b w:val="false"/>
                  <w:color w:val="000080"/>
                  <w:sz w:val="20"/>
                  <w:u w:val="single"/>
                </w:rPr>
                <w:t>rporated by reference to Exhibit 10.</w:t>
              </w:r>
            </w:hyperlink>
            <w:hyperlink r:id="rId59">
              <w:r>
                <w:rPr>
                  <w:rStyle w:val="InternetLink"/>
                  <w:rFonts w:ascii="Times New Roman;serif" w:hAnsi="Times New Roman;serif"/>
                  <w:b w:val="false"/>
                  <w:color w:val="000080"/>
                  <w:sz w:val="20"/>
                  <w:u w:val="single"/>
                </w:rPr>
                <w:t>1 of the Company</w:t>
              </w:r>
            </w:hyperlink>
            <w:hyperlink r:id="rId60">
              <w:r>
                <w:rPr>
                  <w:rStyle w:val="InternetLink"/>
                  <w:rFonts w:ascii="Times New Roman;serif" w:hAnsi="Times New Roman;serif"/>
                  <w:b w:val="false"/>
                  <w:color w:val="000080"/>
                  <w:sz w:val="20"/>
                  <w:u w:val="single"/>
                </w:rPr>
                <w:t>’</w:t>
              </w:r>
            </w:hyperlink>
            <w:hyperlink r:id="rId61">
              <w:r>
                <w:rPr>
                  <w:rStyle w:val="InternetLink"/>
                  <w:rFonts w:ascii="Times New Roman;serif" w:hAnsi="Times New Roman;serif"/>
                  <w:b w:val="false"/>
                  <w:color w:val="000080"/>
                  <w:sz w:val="20"/>
                  <w:u w:val="single"/>
                </w:rPr>
                <w:t>s Form 8-K filed with the SEC on June 22,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0080"/>
                  <w:sz w:val="20"/>
                  <w:u w:val="single"/>
                </w:rPr>
                <w:t>Backstop Agreement, dated June 18, 2026, by and among the Company and the equity investors party thereto</w:t>
              </w:r>
            </w:hyperlink>
            <w:hyperlink r:id="rId64">
              <w:r>
                <w:rPr>
                  <w:rStyle w:val="InternetLink"/>
                  <w:rFonts w:ascii="Times New Roman;serif" w:hAnsi="Times New Roman;serif"/>
                  <w:b w:val="false"/>
                  <w:color w:val="000080"/>
                  <w:sz w:val="20"/>
                  <w:u w:val="single"/>
                </w:rPr>
                <w:t xml:space="preserve"> </w:t>
              </w:r>
            </w:hyperlink>
            <w:hyperlink r:id="rId65">
              <w:r>
                <w:rPr>
                  <w:rStyle w:val="InternetLink"/>
                  <w:rFonts w:ascii="Times New Roman;serif" w:hAnsi="Times New Roman;serif"/>
                  <w:b w:val="false"/>
                  <w:color w:val="000080"/>
                  <w:sz w:val="20"/>
                  <w:u w:val="single"/>
                </w:rPr>
                <w:t>(incorporated by reference to Exhibit 10.</w:t>
              </w:r>
            </w:hyperlink>
            <w:hyperlink r:id="rId66">
              <w:r>
                <w:rPr>
                  <w:rStyle w:val="InternetLink"/>
                  <w:rFonts w:ascii="Times New Roman;serif" w:hAnsi="Times New Roman;serif"/>
                  <w:b w:val="false"/>
                  <w:color w:val="000080"/>
                  <w:sz w:val="20"/>
                  <w:u w:val="single"/>
                </w:rPr>
                <w:t>2</w:t>
              </w:r>
            </w:hyperlink>
            <w:hyperlink r:id="rId67">
              <w:r>
                <w:rPr>
                  <w:rStyle w:val="InternetLink"/>
                  <w:rFonts w:ascii="Times New Roman;serif" w:hAnsi="Times New Roman;serif"/>
                  <w:b w:val="false"/>
                  <w:color w:val="000080"/>
                  <w:sz w:val="20"/>
                  <w:u w:val="single"/>
                </w:rPr>
                <w:t xml:space="preserve"> of the Company’s Form 8-K filed with the SEC on June 22,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erif" w:hAnsi="Times New Roman;serif"/>
                  <w:b w:val="false"/>
                  <w:color w:val="000080"/>
                  <w:sz w:val="20"/>
                  <w:u w:val="single"/>
                </w:rPr>
                <w:t>Amendment No. 8 to its Amended and Restated Credit and Guaranty Agreement, dated June 18, 2026, by and among Playboy, PLBY Parent, the subsidiary guarantors party thereto, the lenders party thereto, and DBD Credit Funding LLC, as the administrative agent and the collateral agent</w:t>
              </w:r>
            </w:hyperlink>
            <w:hyperlink r:id="rId70">
              <w:r>
                <w:rPr>
                  <w:rStyle w:val="InternetLink"/>
                  <w:rFonts w:ascii="Times New Roman;serif" w:hAnsi="Times New Roman;serif"/>
                  <w:b w:val="false"/>
                  <w:color w:val="000080"/>
                  <w:sz w:val="20"/>
                  <w:u w:val="single"/>
                </w:rPr>
                <w:t xml:space="preserve"> </w:t>
              </w:r>
            </w:hyperlink>
            <w:hyperlink r:id="rId71">
              <w:r>
                <w:rPr>
                  <w:rStyle w:val="InternetLink"/>
                  <w:rFonts w:ascii="Times New Roman;serif" w:hAnsi="Times New Roman;serif"/>
                  <w:b w:val="false"/>
                  <w:color w:val="000080"/>
                  <w:sz w:val="20"/>
                  <w:u w:val="single"/>
                </w:rPr>
                <w:t>(incorporated by reference to Exhibit 10.</w:t>
              </w:r>
            </w:hyperlink>
            <w:hyperlink r:id="rId72">
              <w:r>
                <w:rPr>
                  <w:rStyle w:val="InternetLink"/>
                  <w:rFonts w:ascii="Times New Roman;serif" w:hAnsi="Times New Roman;serif"/>
                  <w:b w:val="false"/>
                  <w:color w:val="000080"/>
                  <w:sz w:val="20"/>
                  <w:u w:val="single"/>
                </w:rPr>
                <w:t>3</w:t>
              </w:r>
            </w:hyperlink>
            <w:hyperlink r:id="rId73">
              <w:r>
                <w:rPr>
                  <w:rStyle w:val="InternetLink"/>
                  <w:rFonts w:ascii="Times New Roman;serif" w:hAnsi="Times New Roman;serif"/>
                  <w:b w:val="false"/>
                  <w:color w:val="000080"/>
                  <w:sz w:val="20"/>
                  <w:u w:val="single"/>
                </w:rPr>
                <w:t xml:space="preserve"> of the Company’s Form 8-K filed with the SEC on June 22,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0qexhibit311-2026q2.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1-2026q2.htm">
              <w:r>
                <w:rPr>
                  <w:rStyle w:val="InternetLink"/>
                  <w:rFonts w:ascii="Times New Roman;serif" w:hAnsi="Times New Roman;serif"/>
                  <w:b w:val="false"/>
                  <w:color w:val="0000FF"/>
                  <w:sz w:val="20"/>
                  <w:u w:val="single"/>
                </w:rPr>
                <w:t>Certification of the Principal Executive Officer pursuant to Rules 13a-14(a) and 15d-14(a) promulgated pursuant to the Securities Exchange Act of 1934, as amended</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0qexhibit312-2026q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2-2026q2.htm">
              <w:r>
                <w:rPr>
                  <w:rStyle w:val="InternetLink"/>
                  <w:rFonts w:ascii="Times New Roman;serif" w:hAnsi="Times New Roman;serif"/>
                  <w:b w:val="false"/>
                  <w:color w:val="0000FF"/>
                  <w:sz w:val="20"/>
                  <w:u w:val="single"/>
                </w:rPr>
                <w:t>Certification of the Principal Financial Officer pursuant to Rules 13a-14(a) and 15d-14(a) promulgated pursuant to the Securities Exchange Act of 1934, as amended</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0qexhibit321-2026q2.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21-2026q2.htm">
              <w:r>
                <w:rPr>
                  <w:rStyle w:val="InternetLink"/>
                  <w:rFonts w:ascii="Times New Roman;serif" w:hAnsi="Times New Roman;serif"/>
                  <w:b w:val="false"/>
                  <w:color w:val="0000FF"/>
                  <w:sz w:val="20"/>
                  <w:u w:val="single"/>
                </w:rPr>
                <w:t>Certification of the Principal Executive Officer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0qexhibit322-2026q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22-2026q2.htm">
              <w:r>
                <w:rPr>
                  <w:rStyle w:val="InternetLink"/>
                  <w:rFonts w:ascii="Times New Roman;serif" w:hAnsi="Times New Roman;serif"/>
                  <w:b w:val="false"/>
                  <w:color w:val="0000FF"/>
                  <w:sz w:val="20"/>
                  <w:u w:val="single"/>
                </w:rPr>
                <w:t>Certification of the Principal Financial Officer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Playboy, Inc.’s Quarterly Report on Form 10-Q for the quarter ended June 30, 2026 are formatted in iXBRL (Inline eXtensible Business Reporting Language): (i) Condensed Consolidated Statements of Operations, (ii) Condensed Consolidated Balance Sheets, (iii) Condensed Consolidated Statements of Stockholders’ Equity (Deficit), (iv) Condensed Consolidated Statements of Cash Flows, and (v) related notes (submitted electronically with this Quarterly Report on Form 10-Q)</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 (submitted electronically with this Quarterly Report on Form 10-Q)</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 (submitted electronically with this Quarterly Report on Form 10-Q)</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 (submitted electronically with this Quarterly Report on Form 10-Q)</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 (submitted electronically with this Quarterly Report on Form 10-Q)</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 (submitted electronically with this Quarterly Report on Form 10-Q)</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 (submitted electronically with this Quarterly Report on Form 10-Q)</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Management contract or compensation plan or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Schedules and exhibits to this agreement have been omitted pursuant to Item 601(b)(2) of Regulation S-K. A copy of any omitted schedule and/or exhibit will be furnished to the SEC upon request. Certain confidential portions (indicated by brackets and asterisks) have been omitted from this exhibit pursuant to Item 601(b)(10) of Regulation S-K. The Company agrees to furnish to the SEC a copy of any omitted portions of the exhibit upon request.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This certification is being furnished solely to accompany this quarterly report pursuant to 18 U.S.C. § 1350, and is not being filed for purposes of Section 18 of the Securities Exchange Act of 1934, as amended, and is not to be incorporated by reference into any filing of Playboy, Inc.,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lineRule="auto" w:line="276" w:before="0" w:after="0"/>
        <w:jc w:val="left"/>
        <w:rPr/>
      </w:pPr>
      <w:hyperlink w:anchor="ic2a00e3edcf249fcacf86dc85564e999_7">
        <w:r>
          <w:rPr>
            <w:rStyle w:val="InternetLink"/>
            <w:rFonts w:ascii="Times New Roman;serif" w:hAnsi="Times New Roman;serif"/>
            <w:b w:val="false"/>
            <w:color w:val="000080"/>
            <w:sz w:val="20"/>
            <w:u w:val="single"/>
          </w:rPr>
          <w:t>Table of Content</w:t>
        </w:r>
      </w:hyperlink>
      <w:hyperlink w:anchor="ic2a00e3edcf249fcacf86dc85564e999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574" w:type="dxa"/>
        <w:jc w:val="left"/>
        <w:tblInd w:w="0" w:type="dxa"/>
        <w:tblLayout w:type="fixed"/>
        <w:tblCellMar>
          <w:top w:w="28" w:type="dxa"/>
          <w:left w:w="28" w:type="dxa"/>
          <w:bottom w:w="28" w:type="dxa"/>
          <w:right w:w="28" w:type="dxa"/>
        </w:tblCellMar>
      </w:tblPr>
      <w:tblGrid>
        <w:gridCol w:w="705"/>
        <w:gridCol w:w="621"/>
        <w:gridCol w:w="624"/>
        <w:gridCol w:w="210"/>
        <w:gridCol w:w="210"/>
        <w:gridCol w:w="210"/>
        <w:gridCol w:w="1452"/>
        <w:gridCol w:w="1452"/>
        <w:gridCol w:w="209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Playboy,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Ben Kohn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Ben Kohn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9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b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Marc Crossman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 Crossman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9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before="20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Ben Kohn,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Playboy, Inc.;</w:t>
      </w:r>
    </w:p>
    <w:p>
      <w:pPr>
        <w:pStyle w:val="TextBody"/>
        <w:bidi w:val="0"/>
        <w:spacing w:before="0" w:after="0"/>
        <w:jc w:val="left"/>
        <w:rPr/>
      </w:pPr>
      <w:r>
        <w:rPr/>
      </w:r>
    </w:p>
    <w:p>
      <w:pPr>
        <w:pStyle w:val="TextBody"/>
        <w:bidi w:val="0"/>
        <w:spacing w:lineRule="auto" w:line="304" w:before="0" w:after="0"/>
        <w:ind w:left="0" w:right="0" w:hanging="208"/>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57" w:before="0" w:after="0"/>
        <w:ind w:left="0" w:right="0" w:hanging="208"/>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21" w:before="0" w:after="0"/>
        <w:ind w:left="0" w:right="0" w:hanging="208"/>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rPr>
        <w:t xml:space="preserve"> </w:t>
      </w:r>
      <w:r>
        <w:rPr>
          <w:rFonts w:ascii="Times New Roman;serif" w:hAnsi="Times New Roman;serif"/>
          <w:b w:val="false"/>
          <w:i/>
          <w:color w:val="000000"/>
          <w:sz w:val="20"/>
          <w:u w:val="single"/>
        </w:rPr>
        <w:t>/s/ Ben Kohn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 Kohn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 Crossman,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Playboy, Inc.;</w:t>
      </w:r>
    </w:p>
    <w:p>
      <w:pPr>
        <w:pStyle w:val="TextBody"/>
        <w:bidi w:val="0"/>
        <w:spacing w:before="0" w:after="0"/>
        <w:jc w:val="both"/>
        <w:rPr/>
      </w:pPr>
      <w:r>
        <w:rPr/>
      </w:r>
    </w:p>
    <w:p>
      <w:pPr>
        <w:pStyle w:val="TextBody"/>
        <w:bidi w:val="0"/>
        <w:spacing w:lineRule="auto" w:line="304" w:before="0" w:after="0"/>
        <w:ind w:left="0" w:right="0" w:hanging="208"/>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57" w:before="0" w:after="0"/>
        <w:ind w:left="0" w:right="0" w:hanging="208"/>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21" w:before="0" w:after="0"/>
        <w:ind w:left="0" w:right="0" w:hanging="208"/>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rPr>
        <w:t xml:space="preserve"> </w:t>
      </w:r>
      <w:r>
        <w:rPr>
          <w:rFonts w:ascii="Times New Roman;serif" w:hAnsi="Times New Roman;serif"/>
          <w:b w:val="false"/>
          <w:i/>
          <w:color w:val="000000"/>
          <w:sz w:val="20"/>
          <w:u w:val="single"/>
        </w:rPr>
        <w:t>/s/ Marc Crossman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 Crossman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&amp; Principal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304" w:before="0" w:after="0"/>
        <w:ind w:left="0" w:right="0" w:firstLine="324"/>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Playboy, Inc. (the “Company”) on Form 10-Q for the period ended June 30, 2026, as filed with the Securities and Exchange Commission (the “Report”), Ben Kohn, Chief Executive Officer and President of the Company, certifies, to the best of his knowledge,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Date: August 10, 2026</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i/>
          <w:color w:val="000000"/>
          <w:sz w:val="20"/>
          <w:u w:val="single"/>
        </w:rPr>
        <w:t>/s/ Ben Kohn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 Kohn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304" w:before="0" w:after="0"/>
        <w:ind w:left="0" w:right="0" w:firstLine="324"/>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Playboy, Inc. (the “Company”) on Form 10-Q for the period ended June 30, 2026, as filed with the Securities and Exchange Commission (the “Report”), Marc Crossman, Chief Financial Officer and Chief Operating Officer of the Company, certifies, to the best of his knowledge,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i/>
          <w:color w:val="000000"/>
          <w:sz w:val="20"/>
          <w:u w:val="single"/>
        </w:rPr>
        <w:t>/s/ Marc Crossman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 Crossman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&amp; Principal Accounting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03914/000162828026018238/ply-20251231.htm" TargetMode="External"/><Relationship Id="rId3" Type="http://schemas.openxmlformats.org/officeDocument/2006/relationships/hyperlink" Target="https://www.sec.gov/ix?doc=/Archives/edgar/data/0001803914/000162828026018238/ply-20251231.htm" TargetMode="External"/><Relationship Id="rId4" Type="http://schemas.openxmlformats.org/officeDocument/2006/relationships/hyperlink" Target="https://www.sec.gov/ix?doc=/Archives/edgar/data/0001803914/000162828026018238/ply-20251231.htm" TargetMode="External"/><Relationship Id="rId5" Type="http://schemas.openxmlformats.org/officeDocument/2006/relationships/hyperlink" Target="https://www.sec.gov/ix?doc=/Archives/edgar/data/0001803914/000162828026018238/ply-20251231.htm" TargetMode="External"/><Relationship Id="rId6" Type="http://schemas.openxmlformats.org/officeDocument/2006/relationships/hyperlink" Target="https://www.sec.gov/ix?doc=/Archives/edgar/data/0001803914/000162828026018238/ply-20251231.htm" TargetMode="External"/><Relationship Id="rId7" Type="http://schemas.openxmlformats.org/officeDocument/2006/relationships/hyperlink" Target="https://www.sec.gov/ix?doc=/Archives/edgar/data/0001803914/000162828026018238/ply-20251231.htm" TargetMode="External"/><Relationship Id="rId8" Type="http://schemas.openxmlformats.org/officeDocument/2006/relationships/hyperlink" Target="https://www.sec.gov/ix?doc=/Archives/edgar/data/0001803914/000162828026018238/ply-20251231.htm" TargetMode="External"/><Relationship Id="rId9" Type="http://schemas.openxmlformats.org/officeDocument/2006/relationships/hyperlink" Target="https://www.sec.gov/ix?doc=/Archives/edgar/data/0001803914/000162828026018238/ply-20251231.htm" TargetMode="External"/><Relationship Id="rId10" Type="http://schemas.openxmlformats.org/officeDocument/2006/relationships/hyperlink" Target="https://www.sec.gov/ix?doc=/Archives/edgar/data/0001803914/000162828026018238/ply-20251231.htm" TargetMode="External"/><Relationship Id="rId11" Type="http://schemas.openxmlformats.org/officeDocument/2006/relationships/hyperlink" Target="https://www.sec.gov/ix?doc=/Archives/edgar/data/0001803914/000162828026018238/ply-20251231.htm" TargetMode="External"/><Relationship Id="rId12" Type="http://schemas.openxmlformats.org/officeDocument/2006/relationships/hyperlink" Target="https://www.sec.gov/ix?doc=/Archives/edgar/data/0001803914/000162828026018238/ply-20251231.htm" TargetMode="External"/><Relationship Id="rId13" Type="http://schemas.openxmlformats.org/officeDocument/2006/relationships/hyperlink" Target="https://www.sec.gov/ix?doc=/Archives/edgar/data/0001803914/000162828026018238/ply-20251231.htm" TargetMode="External"/><Relationship Id="rId14" Type="http://schemas.openxmlformats.org/officeDocument/2006/relationships/hyperlink" Target="https://www.sec.gov/ix?doc=/Archives/edgar/data/0001803914/000162828026018238/ply-20251231.htm" TargetMode="External"/><Relationship Id="rId15" Type="http://schemas.openxmlformats.org/officeDocument/2006/relationships/hyperlink" Target="https://www.sec.gov/ix?doc=/Archives/edgar/data/0001803914/000162828026018238/ply-20251231.htm" TargetMode="External"/><Relationship Id="rId16" Type="http://schemas.openxmlformats.org/officeDocument/2006/relationships/hyperlink" Target="https://www.sec.gov/ix?doc=/Archives/edgar/data/0001803914/000162828026018238/ply-20251231.htm" TargetMode="External"/><Relationship Id="rId17" Type="http://schemas.openxmlformats.org/officeDocument/2006/relationships/hyperlink" Target="https://www.sec.gov/ix?doc=/Archives/edgar/data/0001803914/000162828026018238/ply-20251231.htm" TargetMode="External"/><Relationship Id="rId18" Type="http://schemas.openxmlformats.org/officeDocument/2006/relationships/hyperlink" Target="https://www.sec.gov/ix?doc=/Archives/edgar/data/0001803914/000162828026018238/ply-20251231.htm" TargetMode="External"/><Relationship Id="rId19" Type="http://schemas.openxmlformats.org/officeDocument/2006/relationships/hyperlink" Target="https://www.sec.gov/ix?doc=/Archives/edgar/data/0001803914/000162828026018238/ply-20251231.htm" TargetMode="External"/><Relationship Id="rId20" Type="http://schemas.openxmlformats.org/officeDocument/2006/relationships/hyperlink" Target="https://www.sec.gov/ix?doc=/Archives/edgar/data/0001803914/000162828026018238/ply-20251231.htm" TargetMode="External"/><Relationship Id="rId21" Type="http://schemas.openxmlformats.org/officeDocument/2006/relationships/hyperlink" Target="https://www.sec.gov/Archives/edgar/data/1803914/000110465921024317/tm216680d1_ex3-1.htm" TargetMode="External"/><Relationship Id="rId22" Type="http://schemas.openxmlformats.org/officeDocument/2006/relationships/hyperlink" Target="https://www.sec.gov/Archives/edgar/data/1803914/000110465921024317/tm216680d1_ex3-1.htm" TargetMode="External"/><Relationship Id="rId23" Type="http://schemas.openxmlformats.org/officeDocument/2006/relationships/hyperlink" Target="https://www.sec.gov/Archives/edgar/data/1803914/000180391425000109/ex31plbydecertificateofame.htm" TargetMode="External"/><Relationship Id="rId24" Type="http://schemas.openxmlformats.org/officeDocument/2006/relationships/hyperlink" Target="https://www.sec.gov/Archives/edgar/data/1803914/000180391425000109/ex31plbydecertificateofame.htm" TargetMode="External"/><Relationship Id="rId25" Type="http://schemas.openxmlformats.org/officeDocument/2006/relationships/hyperlink" Target="https://www.sec.gov/Archives/edgar/data/1803914/000110465924119206/tm2428334d1_ex3-1.htm" TargetMode="External"/><Relationship Id="rId26" Type="http://schemas.openxmlformats.org/officeDocument/2006/relationships/hyperlink" Target="https://www.sec.gov/Archives/edgar/data/1803914/000110465924119206/tm2428334d1_ex3-1.htm" TargetMode="External"/><Relationship Id="rId27" Type="http://schemas.openxmlformats.org/officeDocument/2006/relationships/hyperlink" Target="https://www.sec.gov/Archives/edgar/data/1803914/000180391425000109/ex32playboyincsecondamende.htm" TargetMode="External"/><Relationship Id="rId28" Type="http://schemas.openxmlformats.org/officeDocument/2006/relationships/hyperlink" Target="https://www.sec.gov/Archives/edgar/data/1803914/000180391425000109/ex32playboyincsecondamende.htm" TargetMode="External"/><Relationship Id="rId29" Type="http://schemas.openxmlformats.org/officeDocument/2006/relationships/hyperlink" Target="https://www.sec.gov/Archives/edgar/data/1803914/000162828026024747/ex101formofplayboy2026exec.htm" TargetMode="External"/><Relationship Id="rId30" Type="http://schemas.openxmlformats.org/officeDocument/2006/relationships/hyperlink" Target="https://www.sec.gov/Archives/edgar/data/1803914/000162828026024747/ex101formofplayboy2026exec.htm" TargetMode="External"/><Relationship Id="rId31" Type="http://schemas.openxmlformats.org/officeDocument/2006/relationships/hyperlink" Target="https://www.sec.gov/Archives/edgar/data/1803914/000162828026024747/ex101formofplayboy2026exec.htm" TargetMode="External"/><Relationship Id="rId32" Type="http://schemas.openxmlformats.org/officeDocument/2006/relationships/hyperlink" Target="https://www.sec.gov/Archives/edgar/data/1803914/000162828026024747/ex101formofplayboy2026exec.htm" TargetMode="External"/><Relationship Id="rId33" Type="http://schemas.openxmlformats.org/officeDocument/2006/relationships/hyperlink" Target="https://www.sec.gov/Archives/edgar/data/1803914/000162828026035592/playboymiamibeachleaseamen.htm" TargetMode="External"/><Relationship Id="rId34" Type="http://schemas.openxmlformats.org/officeDocument/2006/relationships/hyperlink" Target="https://www.sec.gov/Archives/edgar/data/1803914/000162828026035592/playboymiamibeachleaseamen.htm" TargetMode="External"/><Relationship Id="rId35" Type="http://schemas.openxmlformats.org/officeDocument/2006/relationships/hyperlink" Target="https://www.sec.gov/Archives/edgar/data/1803914/000162828026035592/playboymiamibeachleaseamen.htm" TargetMode="External"/><Relationship Id="rId36" Type="http://schemas.openxmlformats.org/officeDocument/2006/relationships/hyperlink" Target="https://www.sec.gov/Archives/edgar/data/1803914/000162828026035592/playboymiamibeachleaseamen.htm" TargetMode="External"/><Relationship Id="rId37" Type="http://schemas.openxmlformats.org/officeDocument/2006/relationships/hyperlink" Target="https://www.sec.gov/Archives/edgar/data/1803914/000162828026035592/playboymiamibeachleaseamen.htm" TargetMode="External"/><Relationship Id="rId38" Type="http://schemas.openxmlformats.org/officeDocument/2006/relationships/hyperlink" Target="https://www.sec.gov/Archives/edgar/data/1803914/000162828026035592/playboymiamibeachleaseamen.htm" TargetMode="External"/><Relationship Id="rId39" Type="http://schemas.openxmlformats.org/officeDocument/2006/relationships/hyperlink" Target="https://www.sec.gov/Archives/edgar/data/1803914/000162828026035592/playboymiamibeachleaseamen.htm" TargetMode="External"/><Relationship Id="rId40" Type="http://schemas.openxmlformats.org/officeDocument/2006/relationships/hyperlink" Target="https://www.sec.gov/Archives/edgar/data/1803914/000162828026035592/playboynewmiamibeachleasef.htm" TargetMode="External"/><Relationship Id="rId41" Type="http://schemas.openxmlformats.org/officeDocument/2006/relationships/hyperlink" Target="https://www.sec.gov/Archives/edgar/data/1803914/000162828026035592/playboynewmiamibeachleasef.htm" TargetMode="External"/><Relationship Id="rId42" Type="http://schemas.openxmlformats.org/officeDocument/2006/relationships/hyperlink" Target="https://www.sec.gov/Archives/edgar/data/1803914/000162828026035592/playboynewmiamibeachleasef.htm" TargetMode="External"/><Relationship Id="rId43" Type="http://schemas.openxmlformats.org/officeDocument/2006/relationships/hyperlink" Target="https://www.sec.gov/Archives/edgar/data/1803914/000162828026035592/playboynewmiamibeachleasef.htm" TargetMode="External"/><Relationship Id="rId44" Type="http://schemas.openxmlformats.org/officeDocument/2006/relationships/hyperlink" Target="https://www.sec.gov/Archives/edgar/data/1803914/000162828026035592/playboynewmiamibeachleasef.htm" TargetMode="External"/><Relationship Id="rId45" Type="http://schemas.openxmlformats.org/officeDocument/2006/relationships/hyperlink" Target="https://www.sec.gov/Archives/edgar/data/1803914/000162828026035592/playboynewmiamibeachleasef.htm" TargetMode="External"/><Relationship Id="rId46" Type="http://schemas.openxmlformats.org/officeDocument/2006/relationships/hyperlink" Target="https://www.sec.gov/Archives/edgar/data/1803914/000162828026035592/playboynewmiamibeachleasef.htm" TargetMode="External"/><Relationship Id="rId47" Type="http://schemas.openxmlformats.org/officeDocument/2006/relationships/hyperlink" Target="https://www.sec.gov/Archives/edgar/data/1803914/000162828026043729/amendmenttoplayboyar2021ei.htm" TargetMode="External"/><Relationship Id="rId48" Type="http://schemas.openxmlformats.org/officeDocument/2006/relationships/hyperlink" Target="https://www.sec.gov/Archives/edgar/data/1803914/000162828026043729/amendmenttoplayboyar2021ei.htm" TargetMode="External"/><Relationship Id="rId49" Type="http://schemas.openxmlformats.org/officeDocument/2006/relationships/hyperlink" Target="https://www.sec.gov/Archives/edgar/data/1803914/000162828026043729/amendmenttoplayboyar2021ei.htm" TargetMode="External"/><Relationship Id="rId50" Type="http://schemas.openxmlformats.org/officeDocument/2006/relationships/hyperlink" Target="https://www.sec.gov/Archives/edgar/data/1803914/000162828026043729/amendmenttoplayboyar2021ei.htm" TargetMode="External"/><Relationship Id="rId51" Type="http://schemas.openxmlformats.org/officeDocument/2006/relationships/hyperlink" Target="https://www.sec.gov/Archives/edgar/data/1803914/000162828026043729/amendmenttoplayboyar2021ei.htm" TargetMode="External"/><Relationship Id="rId52" Type="http://schemas.openxmlformats.org/officeDocument/2006/relationships/hyperlink" Target="https://www.sec.gov/Archives/edgar/data/1803914/000162828026043729/amendmenttoplayboyar2021ei.htm" TargetMode="External"/><Relationship Id="rId53" Type="http://schemas.openxmlformats.org/officeDocument/2006/relationships/hyperlink" Target="https://www.sec.gov/Archives/edgar/data/1803914/000162828026043729/amendmenttoplayboyar2021ei.htm" TargetMode="External"/><Relationship Id="rId54" Type="http://schemas.openxmlformats.org/officeDocument/2006/relationships/hyperlink" Target="https://www.sec.gov/Archives/edgar/data/1803914/000162828026043729/amendmenttoplayboyar2021ei.htm" TargetMode="External"/><Relationship Id="rId55" Type="http://schemas.openxmlformats.org/officeDocument/2006/relationships/hyperlink" Target="https://www.sec.gov/Archives/edgar/data/1803914/000162828026044510/ex101-playboyxfortressstoc.htm" TargetMode="External"/><Relationship Id="rId56" Type="http://schemas.openxmlformats.org/officeDocument/2006/relationships/hyperlink" Target="https://www.sec.gov/Archives/edgar/data/1803914/000162828026044510/ex101-playboyxfortressstoc.htm" TargetMode="External"/><Relationship Id="rId57" Type="http://schemas.openxmlformats.org/officeDocument/2006/relationships/hyperlink" Target="https://www.sec.gov/Archives/edgar/data/1803914/000162828026044510/ex101-playboyxfortressstoc.htm" TargetMode="External"/><Relationship Id="rId58" Type="http://schemas.openxmlformats.org/officeDocument/2006/relationships/hyperlink" Target="https://www.sec.gov/Archives/edgar/data/1803914/000162828026044510/ex101-playboyxfortressstoc.htm" TargetMode="External"/><Relationship Id="rId59" Type="http://schemas.openxmlformats.org/officeDocument/2006/relationships/hyperlink" Target="https://www.sec.gov/Archives/edgar/data/1803914/000162828026044510/ex101-playboyxfortressstoc.htm" TargetMode="External"/><Relationship Id="rId60" Type="http://schemas.openxmlformats.org/officeDocument/2006/relationships/hyperlink" Target="https://www.sec.gov/Archives/edgar/data/1803914/000162828026044510/ex101-playboyxfortressstoc.htm" TargetMode="External"/><Relationship Id="rId61" Type="http://schemas.openxmlformats.org/officeDocument/2006/relationships/hyperlink" Target="https://www.sec.gov/Archives/edgar/data/1803914/000162828026044510/ex101-playboyxfortressstoc.htm" TargetMode="External"/><Relationship Id="rId62" Type="http://schemas.openxmlformats.org/officeDocument/2006/relationships/hyperlink" Target="https://www.sec.gov/Archives/edgar/data/1803914/000162828026044510/ex102-playboyinvestorbacks.htm" TargetMode="External"/><Relationship Id="rId63" Type="http://schemas.openxmlformats.org/officeDocument/2006/relationships/hyperlink" Target="https://www.sec.gov/Archives/edgar/data/1803914/000162828026044510/ex102-playboyinvestorbacks.htm" TargetMode="External"/><Relationship Id="rId64" Type="http://schemas.openxmlformats.org/officeDocument/2006/relationships/hyperlink" Target="https://www.sec.gov/Archives/edgar/data/1803914/000162828026044510/ex102-playboyinvestorbacks.htm" TargetMode="External"/><Relationship Id="rId65" Type="http://schemas.openxmlformats.org/officeDocument/2006/relationships/hyperlink" Target="https://www.sec.gov/Archives/edgar/data/1803914/000162828026044510/ex102-playboyinvestorbacks.htm" TargetMode="External"/><Relationship Id="rId66" Type="http://schemas.openxmlformats.org/officeDocument/2006/relationships/hyperlink" Target="https://www.sec.gov/Archives/edgar/data/1803914/000162828026044510/ex102-playboyinvestorbacks.htm" TargetMode="External"/><Relationship Id="rId67" Type="http://schemas.openxmlformats.org/officeDocument/2006/relationships/hyperlink" Target="https://www.sec.gov/Archives/edgar/data/1803914/000162828026044510/ex102-playboyinvestorbacks.htm" TargetMode="External"/><Relationship Id="rId68" Type="http://schemas.openxmlformats.org/officeDocument/2006/relationships/hyperlink" Target="https://www.sec.gov/Archives/edgar/data/1803914/000162828026044510/ex103-playboyarcreditamend.htm" TargetMode="External"/><Relationship Id="rId69" Type="http://schemas.openxmlformats.org/officeDocument/2006/relationships/hyperlink" Target="https://www.sec.gov/Archives/edgar/data/1803914/000162828026044510/ex103-playboyarcreditamend.htm" TargetMode="External"/><Relationship Id="rId70" Type="http://schemas.openxmlformats.org/officeDocument/2006/relationships/hyperlink" Target="https://www.sec.gov/Archives/edgar/data/1803914/000162828026044510/ex103-playboyarcreditamend.htm" TargetMode="External"/><Relationship Id="rId71" Type="http://schemas.openxmlformats.org/officeDocument/2006/relationships/hyperlink" Target="https://www.sec.gov/Archives/edgar/data/1803914/000162828026044510/ex103-playboyarcreditamend.htm" TargetMode="External"/><Relationship Id="rId72" Type="http://schemas.openxmlformats.org/officeDocument/2006/relationships/hyperlink" Target="https://www.sec.gov/Archives/edgar/data/1803914/000162828026044510/ex103-playboyarcreditamend.htm" TargetMode="External"/><Relationship Id="rId73" Type="http://schemas.openxmlformats.org/officeDocument/2006/relationships/hyperlink" Target="https://www.sec.gov/Archives/edgar/data/1803914/000162828026044510/ex103-playboyarcreditamend.htm" TargetMode="External"/><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33133</Words>
  <Characters>181547</Characters>
  <CharactersWithSpaces>212620</CharactersWithSpaces>
  <Paragraphs>3723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