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2"/>
          <w:szCs w:val="12"/>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 8-K</w:t>
      </w:r>
    </w:p>
    <w:p>
      <w:pPr>
        <w:spacing w:after="0" w:line="2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Pursuant to Section 13 or 15(d)</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of The Securities Exchange Act of 1934</w:t>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Date of Report (Date of earliest event reported): June 16, 2026</w:t>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PLAYBOY, INC.</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384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360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001-39312</w:t>
            </w:r>
          </w:p>
        </w:tc>
        <w:tc>
          <w:tcPr>
            <w:tcW w:w="260" w:type="dxa"/>
            <w:vAlign w:val="bottom"/>
          </w:tcPr>
          <w:p>
            <w:pPr>
              <w:spacing w:after="0"/>
              <w:rPr>
                <w:sz w:val="13"/>
                <w:szCs w:val="13"/>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37-1958714</w:t>
            </w:r>
          </w:p>
        </w:tc>
      </w:tr>
      <w:tr>
        <w:trPr>
          <w:trHeight w:val="106"/>
        </w:trPr>
        <w:tc>
          <w:tcPr>
            <w:tcW w:w="3580" w:type="dxa"/>
            <w:vAlign w:val="bottom"/>
            <w:tcBorders>
              <w:top w:val="single" w:sz="8" w:color="auto"/>
            </w:tcBorders>
          </w:tcPr>
          <w:p>
            <w:pPr>
              <w:jc w:val="center"/>
              <w:spacing w:after="0" w:line="106" w:lineRule="exact"/>
              <w:rPr>
                <w:sz w:val="20"/>
                <w:szCs w:val="20"/>
                <w:color w:val="auto"/>
              </w:rPr>
            </w:pPr>
            <w:r>
              <w:rPr>
                <w:rFonts w:ascii="Times New Roman" w:cs="Times New Roman" w:eastAsia="Times New Roman" w:hAnsi="Times New Roman"/>
                <w:sz w:val="12"/>
                <w:szCs w:val="12"/>
                <w:color w:val="auto"/>
                <w:w w:val="99"/>
              </w:rPr>
              <w:t>(State or other jurisdiction</w:t>
            </w:r>
          </w:p>
        </w:tc>
        <w:tc>
          <w:tcPr>
            <w:tcW w:w="260" w:type="dxa"/>
            <w:vAlign w:val="bottom"/>
          </w:tcPr>
          <w:p>
            <w:pPr>
              <w:spacing w:after="0"/>
              <w:rPr>
                <w:sz w:val="9"/>
                <w:szCs w:val="9"/>
                <w:color w:val="auto"/>
              </w:rPr>
            </w:pPr>
          </w:p>
        </w:tc>
        <w:tc>
          <w:tcPr>
            <w:tcW w:w="3600" w:type="dxa"/>
            <w:vAlign w:val="bottom"/>
            <w:tcBorders>
              <w:top w:val="single" w:sz="8" w:color="auto"/>
            </w:tcBorders>
            <w:gridSpan w:val="3"/>
          </w:tcPr>
          <w:p>
            <w:pPr>
              <w:jc w:val="center"/>
              <w:spacing w:after="0" w:line="106" w:lineRule="exact"/>
              <w:rPr>
                <w:sz w:val="20"/>
                <w:szCs w:val="20"/>
                <w:color w:val="auto"/>
              </w:rPr>
            </w:pPr>
            <w:r>
              <w:rPr>
                <w:rFonts w:ascii="Times New Roman" w:cs="Times New Roman" w:eastAsia="Times New Roman" w:hAnsi="Times New Roman"/>
                <w:sz w:val="12"/>
                <w:szCs w:val="12"/>
                <w:color w:val="auto"/>
                <w:w w:val="98"/>
              </w:rPr>
              <w:t>(Commission</w:t>
            </w:r>
          </w:p>
        </w:tc>
        <w:tc>
          <w:tcPr>
            <w:tcW w:w="260" w:type="dxa"/>
            <w:vAlign w:val="bottom"/>
          </w:tcPr>
          <w:p>
            <w:pPr>
              <w:spacing w:after="0"/>
              <w:rPr>
                <w:sz w:val="9"/>
                <w:szCs w:val="9"/>
                <w:color w:val="auto"/>
              </w:rPr>
            </w:pPr>
          </w:p>
        </w:tc>
        <w:tc>
          <w:tcPr>
            <w:tcW w:w="3600" w:type="dxa"/>
            <w:vAlign w:val="bottom"/>
            <w:tcBorders>
              <w:top w:val="single" w:sz="8" w:color="auto"/>
            </w:tcBorders>
          </w:tcPr>
          <w:p>
            <w:pPr>
              <w:jc w:val="center"/>
              <w:spacing w:after="0" w:line="106" w:lineRule="exact"/>
              <w:rPr>
                <w:sz w:val="20"/>
                <w:szCs w:val="20"/>
                <w:color w:val="auto"/>
              </w:rPr>
            </w:pPr>
            <w:r>
              <w:rPr>
                <w:rFonts w:ascii="Times New Roman" w:cs="Times New Roman" w:eastAsia="Times New Roman" w:hAnsi="Times New Roman"/>
                <w:sz w:val="12"/>
                <w:szCs w:val="12"/>
                <w:color w:val="auto"/>
                <w:w w:val="98"/>
              </w:rPr>
              <w:t>(IRS Employer</w:t>
            </w:r>
          </w:p>
        </w:tc>
      </w:tr>
      <w:tr>
        <w:trPr>
          <w:trHeight w:val="155"/>
        </w:trPr>
        <w:tc>
          <w:tcPr>
            <w:tcW w:w="38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color w:val="auto"/>
              </w:rPr>
              <w:t>of incorporation)</w:t>
            </w:r>
          </w:p>
        </w:tc>
        <w:tc>
          <w:tcPr>
            <w:tcW w:w="3860" w:type="dxa"/>
            <w:vAlign w:val="bottom"/>
            <w:gridSpan w:val="4"/>
          </w:tcPr>
          <w:p>
            <w:pPr>
              <w:jc w:val="center"/>
              <w:ind w:right="260"/>
              <w:spacing w:after="0"/>
              <w:rPr>
                <w:sz w:val="20"/>
                <w:szCs w:val="20"/>
                <w:color w:val="auto"/>
              </w:rPr>
            </w:pPr>
            <w:r>
              <w:rPr>
                <w:rFonts w:ascii="Times New Roman" w:cs="Times New Roman" w:eastAsia="Times New Roman" w:hAnsi="Times New Roman"/>
                <w:sz w:val="12"/>
                <w:szCs w:val="12"/>
                <w:color w:val="auto"/>
                <w:w w:val="98"/>
              </w:rPr>
              <w:t>File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Identification No.)</w:t>
            </w:r>
          </w:p>
        </w:tc>
      </w:tr>
      <w:tr>
        <w:trPr>
          <w:trHeight w:val="352"/>
        </w:trPr>
        <w:tc>
          <w:tcPr>
            <w:tcW w:w="3840" w:type="dxa"/>
            <w:vAlign w:val="bottom"/>
            <w:gridSpan w:val="2"/>
          </w:tcPr>
          <w:p>
            <w:pPr>
              <w:jc w:val="center"/>
              <w:ind w:left="1600"/>
              <w:spacing w:after="0"/>
              <w:rPr>
                <w:sz w:val="20"/>
                <w:szCs w:val="20"/>
                <w:color w:val="auto"/>
              </w:rPr>
            </w:pPr>
            <w:r>
              <w:rPr>
                <w:rFonts w:ascii="Times New Roman" w:cs="Times New Roman" w:eastAsia="Times New Roman" w:hAnsi="Times New Roman"/>
                <w:sz w:val="12"/>
                <w:szCs w:val="12"/>
                <w:b w:val="1"/>
                <w:bCs w:val="1"/>
                <w:color w:val="auto"/>
                <w:w w:val="99"/>
              </w:rPr>
              <w:t>10960 Wilshire Blvd., Suite 2200</w:t>
            </w:r>
          </w:p>
        </w:tc>
        <w:tc>
          <w:tcPr>
            <w:tcW w:w="1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177"/>
        </w:trPr>
        <w:tc>
          <w:tcPr>
            <w:tcW w:w="3840" w:type="dxa"/>
            <w:vAlign w:val="bottom"/>
            <w:tcBorders>
              <w:bottom w:val="single" w:sz="8" w:color="auto"/>
            </w:tcBorders>
            <w:gridSpan w:val="2"/>
          </w:tcPr>
          <w:p>
            <w:pPr>
              <w:jc w:val="center"/>
              <w:ind w:left="1600"/>
              <w:spacing w:after="0"/>
              <w:rPr>
                <w:sz w:val="20"/>
                <w:szCs w:val="20"/>
                <w:color w:val="auto"/>
              </w:rPr>
            </w:pPr>
            <w:r>
              <w:rPr>
                <w:rFonts w:ascii="Times New Roman" w:cs="Times New Roman" w:eastAsia="Times New Roman" w:hAnsi="Times New Roman"/>
                <w:sz w:val="12"/>
                <w:szCs w:val="12"/>
                <w:b w:val="1"/>
                <w:bCs w:val="1"/>
                <w:color w:val="auto"/>
              </w:rPr>
              <w:t>Los Angeles, California</w:t>
            </w:r>
          </w:p>
        </w:tc>
        <w:tc>
          <w:tcPr>
            <w:tcW w:w="16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600" w:type="dxa"/>
            <w:vAlign w:val="bottom"/>
            <w:tcBorders>
              <w:bottom w:val="single" w:sz="8" w:color="auto"/>
            </w:tcBorders>
          </w:tcPr>
          <w:p>
            <w:pPr>
              <w:jc w:val="right"/>
              <w:ind w:right="2560"/>
              <w:spacing w:after="0"/>
              <w:rPr>
                <w:sz w:val="20"/>
                <w:szCs w:val="20"/>
                <w:color w:val="auto"/>
              </w:rPr>
            </w:pPr>
            <w:r>
              <w:rPr>
                <w:rFonts w:ascii="Times New Roman" w:cs="Times New Roman" w:eastAsia="Times New Roman" w:hAnsi="Times New Roman"/>
                <w:sz w:val="12"/>
                <w:szCs w:val="12"/>
                <w:b w:val="1"/>
                <w:bCs w:val="1"/>
                <w:color w:val="auto"/>
              </w:rPr>
              <w:t>90024</w:t>
            </w:r>
          </w:p>
        </w:tc>
      </w:tr>
      <w:tr>
        <w:trPr>
          <w:trHeight w:val="144"/>
        </w:trPr>
        <w:tc>
          <w:tcPr>
            <w:tcW w:w="3840" w:type="dxa"/>
            <w:vAlign w:val="bottom"/>
            <w:gridSpan w:val="2"/>
          </w:tcPr>
          <w:p>
            <w:pPr>
              <w:jc w:val="center"/>
              <w:ind w:left="1600"/>
              <w:spacing w:after="0"/>
              <w:rPr>
                <w:sz w:val="20"/>
                <w:szCs w:val="20"/>
                <w:color w:val="auto"/>
              </w:rPr>
            </w:pPr>
            <w:r>
              <w:rPr>
                <w:rFonts w:ascii="Times New Roman" w:cs="Times New Roman" w:eastAsia="Times New Roman" w:hAnsi="Times New Roman"/>
                <w:sz w:val="12"/>
                <w:szCs w:val="12"/>
                <w:color w:val="auto"/>
                <w:w w:val="99"/>
              </w:rPr>
              <w:t>(Address of principal executive offices)</w:t>
            </w:r>
          </w:p>
        </w:tc>
        <w:tc>
          <w:tcPr>
            <w:tcW w:w="1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0" w:type="dxa"/>
            <w:vAlign w:val="bottom"/>
          </w:tcPr>
          <w:p>
            <w:pPr>
              <w:jc w:val="center"/>
              <w:ind w:right="1860"/>
              <w:spacing w:after="0"/>
              <w:rPr>
                <w:sz w:val="20"/>
                <w:szCs w:val="20"/>
                <w:color w:val="auto"/>
              </w:rPr>
            </w:pPr>
            <w:r>
              <w:rPr>
                <w:rFonts w:ascii="Times New Roman" w:cs="Times New Roman" w:eastAsia="Times New Roman" w:hAnsi="Times New Roman"/>
                <w:sz w:val="12"/>
                <w:szCs w:val="12"/>
                <w:color w:val="auto"/>
                <w:w w:val="98"/>
              </w:rPr>
              <w:t>(Zip Code)</w:t>
            </w:r>
          </w:p>
        </w:tc>
      </w:tr>
      <w:tr>
        <w:trPr>
          <w:trHeight w:val="322"/>
        </w:trPr>
        <w:tc>
          <w:tcPr>
            <w:tcW w:w="3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60" w:type="dxa"/>
            <w:vAlign w:val="bottom"/>
            <w:gridSpan w:val="4"/>
          </w:tcPr>
          <w:p>
            <w:pPr>
              <w:jc w:val="center"/>
              <w:ind w:right="260"/>
              <w:spacing w:after="0"/>
              <w:rPr>
                <w:sz w:val="20"/>
                <w:szCs w:val="20"/>
                <w:color w:val="auto"/>
              </w:rPr>
            </w:pPr>
            <w:r>
              <w:rPr>
                <w:rFonts w:ascii="Times New Roman" w:cs="Times New Roman" w:eastAsia="Times New Roman" w:hAnsi="Times New Roman"/>
                <w:sz w:val="12"/>
                <w:szCs w:val="12"/>
                <w:color w:val="auto"/>
                <w:w w:val="99"/>
              </w:rPr>
              <w:t xml:space="preserve">Registrant’s telephone number, including area code: </w:t>
            </w:r>
            <w:r>
              <w:rPr>
                <w:rFonts w:ascii="Times New Roman" w:cs="Times New Roman" w:eastAsia="Times New Roman" w:hAnsi="Times New Roman"/>
                <w:sz w:val="12"/>
                <w:szCs w:val="12"/>
                <w:b w:val="1"/>
                <w:bCs w:val="1"/>
                <w:color w:val="auto"/>
                <w:w w:val="99"/>
              </w:rPr>
              <w:t>(310) 424-1800</w:t>
            </w:r>
          </w:p>
        </w:tc>
        <w:tc>
          <w:tcPr>
            <w:tcW w:w="3600" w:type="dxa"/>
            <w:vAlign w:val="bottom"/>
          </w:tcPr>
          <w:p>
            <w:pPr>
              <w:spacing w:after="0"/>
              <w:rPr>
                <w:sz w:val="24"/>
                <w:szCs w:val="24"/>
                <w:color w:val="auto"/>
              </w:rPr>
            </w:pPr>
          </w:p>
        </w:tc>
      </w:tr>
      <w:tr>
        <w:trPr>
          <w:trHeight w:val="250"/>
        </w:trPr>
        <w:tc>
          <w:tcPr>
            <w:tcW w:w="3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60" w:type="dxa"/>
            <w:vAlign w:val="bottom"/>
            <w:gridSpan w:val="4"/>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8"/>
              </w:rPr>
              <w:t>Not Applicable</w:t>
            </w:r>
          </w:p>
        </w:tc>
        <w:tc>
          <w:tcPr>
            <w:tcW w:w="3600" w:type="dxa"/>
            <w:vAlign w:val="bottom"/>
          </w:tcPr>
          <w:p>
            <w:pPr>
              <w:spacing w:after="0"/>
              <w:rPr>
                <w:sz w:val="21"/>
                <w:szCs w:val="21"/>
                <w:color w:val="auto"/>
              </w:rPr>
            </w:pPr>
          </w:p>
        </w:tc>
      </w:tr>
      <w:tr>
        <w:trPr>
          <w:trHeight w:val="155"/>
        </w:trPr>
        <w:tc>
          <w:tcPr>
            <w:tcW w:w="3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60" w:type="dxa"/>
            <w:vAlign w:val="bottom"/>
            <w:gridSpan w:val="4"/>
          </w:tcPr>
          <w:p>
            <w:pPr>
              <w:jc w:val="center"/>
              <w:ind w:right="260"/>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tc>
        <w:tc>
          <w:tcPr>
            <w:tcW w:w="3600" w:type="dxa"/>
            <w:vAlign w:val="bottom"/>
          </w:tcPr>
          <w:p>
            <w:pPr>
              <w:spacing w:after="0"/>
              <w:rPr>
                <w:sz w:val="13"/>
                <w:szCs w:val="13"/>
                <w:color w:val="auto"/>
              </w:rPr>
            </w:pPr>
          </w:p>
        </w:tc>
      </w:tr>
    </w:tbl>
    <w:p>
      <w:pPr>
        <w:spacing w:after="0" w:line="10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59" w:lineRule="exact"/>
        <w:rPr>
          <w:sz w:val="24"/>
          <w:szCs w:val="24"/>
          <w:color w:val="auto"/>
        </w:rPr>
      </w:pPr>
    </w:p>
    <w:p>
      <w:pPr>
        <w:ind w:left="400" w:hanging="396"/>
        <w:spacing w:after="0"/>
        <w:tabs>
          <w:tab w:leader="none" w:pos="4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87" w:lineRule="exact"/>
        <w:rPr>
          <w:rFonts w:ascii="MS PGothic" w:cs="MS PGothic" w:eastAsia="MS PGothic" w:hAnsi="MS PGothic"/>
          <w:sz w:val="12"/>
          <w:szCs w:val="12"/>
          <w:color w:val="auto"/>
        </w:rPr>
      </w:pPr>
    </w:p>
    <w:p>
      <w:pPr>
        <w:ind w:left="400" w:hanging="396"/>
        <w:spacing w:after="0"/>
        <w:tabs>
          <w:tab w:leader="none" w:pos="4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87" w:lineRule="exact"/>
        <w:rPr>
          <w:rFonts w:ascii="MS PGothic" w:cs="MS PGothic" w:eastAsia="MS PGothic" w:hAnsi="MS PGothic"/>
          <w:sz w:val="12"/>
          <w:szCs w:val="12"/>
          <w:color w:val="auto"/>
        </w:rPr>
      </w:pPr>
    </w:p>
    <w:p>
      <w:pPr>
        <w:ind w:left="400" w:hanging="396"/>
        <w:spacing w:after="0"/>
        <w:tabs>
          <w:tab w:leader="none" w:pos="4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87" w:lineRule="exact"/>
        <w:rPr>
          <w:rFonts w:ascii="MS PGothic" w:cs="MS PGothic" w:eastAsia="MS PGothic" w:hAnsi="MS PGothic"/>
          <w:sz w:val="12"/>
          <w:szCs w:val="12"/>
          <w:color w:val="auto"/>
        </w:rPr>
      </w:pPr>
    </w:p>
    <w:p>
      <w:pPr>
        <w:ind w:left="400" w:hanging="396"/>
        <w:spacing w:after="0"/>
        <w:tabs>
          <w:tab w:leader="none" w:pos="4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86" w:lineRule="exact"/>
        <w:rPr>
          <w:sz w:val="24"/>
          <w:szCs w:val="24"/>
          <w:color w:val="auto"/>
        </w:rPr>
      </w:pPr>
    </w:p>
    <w:tbl>
      <w:tblPr>
        <w:tblLayout w:type="fixed"/>
        <w:tblInd w:w="0" w:type="dxa"/>
        <w:tblCellMar>
          <w:top w:w="0" w:type="dxa"/>
          <w:left w:w="0" w:type="dxa"/>
          <w:bottom w:w="0" w:type="dxa"/>
          <w:right w:w="0" w:type="dxa"/>
        </w:tblCellMar>
      </w:tblPr>
      <w:tr>
        <w:trPr>
          <w:trHeight w:val="155"/>
        </w:trPr>
        <w:tc>
          <w:tcPr>
            <w:tcW w:w="40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220" w:type="dxa"/>
            <w:vAlign w:val="bottom"/>
          </w:tcPr>
          <w:p>
            <w:pPr>
              <w:spacing w:after="0"/>
              <w:rPr>
                <w:sz w:val="13"/>
                <w:szCs w:val="13"/>
                <w:color w:val="auto"/>
              </w:rPr>
            </w:pPr>
          </w:p>
        </w:tc>
      </w:tr>
      <w:tr>
        <w:trPr>
          <w:trHeight w:val="270"/>
        </w:trPr>
        <w:tc>
          <w:tcPr>
            <w:tcW w:w="1660" w:type="dxa"/>
            <w:vAlign w:val="bottom"/>
          </w:tcPr>
          <w:p>
            <w:pPr>
              <w:spacing w:after="0"/>
              <w:rPr>
                <w:sz w:val="23"/>
                <w:szCs w:val="23"/>
                <w:color w:val="auto"/>
              </w:rPr>
            </w:pPr>
          </w:p>
        </w:tc>
        <w:tc>
          <w:tcPr>
            <w:tcW w:w="2360" w:type="dxa"/>
            <w:vAlign w:val="bottom"/>
            <w:gridSpan w:val="2"/>
          </w:tcPr>
          <w:p>
            <w:pPr>
              <w:jc w:val="center"/>
              <w:ind w:right="1460"/>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3720" w:type="dxa"/>
            <w:vAlign w:val="bottom"/>
            <w:gridSpan w:val="3"/>
          </w:tcPr>
          <w:p>
            <w:pPr>
              <w:jc w:val="center"/>
              <w:ind w:right="1120"/>
              <w:spacing w:after="0"/>
              <w:rPr>
                <w:sz w:val="20"/>
                <w:szCs w:val="20"/>
                <w:color w:val="auto"/>
              </w:rPr>
            </w:pPr>
            <w:r>
              <w:rPr>
                <w:rFonts w:ascii="Times New Roman" w:cs="Times New Roman" w:eastAsia="Times New Roman" w:hAnsi="Times New Roman"/>
                <w:sz w:val="12"/>
                <w:szCs w:val="12"/>
                <w:b w:val="1"/>
                <w:bCs w:val="1"/>
                <w:color w:val="auto"/>
                <w:w w:val="99"/>
              </w:rPr>
              <w:t>Trading Symbol(s)</w:t>
            </w:r>
          </w:p>
        </w:tc>
        <w:tc>
          <w:tcPr>
            <w:tcW w:w="22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Name of each exchange on which registered</w:t>
            </w:r>
          </w:p>
        </w:tc>
      </w:tr>
      <w:tr>
        <w:trPr>
          <w:trHeight w:val="20"/>
        </w:trPr>
        <w:tc>
          <w:tcPr>
            <w:tcW w:w="16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r>
      <w:tr>
        <w:trPr>
          <w:trHeight w:val="277"/>
        </w:trPr>
        <w:tc>
          <w:tcPr>
            <w:tcW w:w="4020" w:type="dxa"/>
            <w:vAlign w:val="bottom"/>
            <w:gridSpan w:val="3"/>
          </w:tcPr>
          <w:p>
            <w:pPr>
              <w:jc w:val="center"/>
              <w:ind w:left="140"/>
              <w:spacing w:after="0"/>
              <w:rPr>
                <w:sz w:val="20"/>
                <w:szCs w:val="20"/>
                <w:color w:val="auto"/>
              </w:rPr>
            </w:pPr>
            <w:r>
              <w:rPr>
                <w:rFonts w:ascii="Times New Roman" w:cs="Times New Roman" w:eastAsia="Times New Roman" w:hAnsi="Times New Roman"/>
                <w:sz w:val="12"/>
                <w:szCs w:val="12"/>
                <w:color w:val="auto"/>
                <w:w w:val="99"/>
              </w:rPr>
              <w:t>Common Stock, par value $0.0001 per share</w:t>
            </w:r>
          </w:p>
        </w:tc>
        <w:tc>
          <w:tcPr>
            <w:tcW w:w="820" w:type="dxa"/>
            <w:vAlign w:val="bottom"/>
          </w:tcPr>
          <w:p>
            <w:pPr>
              <w:spacing w:after="0"/>
              <w:rPr>
                <w:sz w:val="24"/>
                <w:szCs w:val="24"/>
                <w:color w:val="auto"/>
              </w:rPr>
            </w:pPr>
          </w:p>
        </w:tc>
        <w:tc>
          <w:tcPr>
            <w:tcW w:w="2900" w:type="dxa"/>
            <w:vAlign w:val="bottom"/>
            <w:gridSpan w:val="2"/>
          </w:tcPr>
          <w:p>
            <w:pPr>
              <w:jc w:val="center"/>
              <w:ind w:right="1940"/>
              <w:spacing w:after="0"/>
              <w:rPr>
                <w:sz w:val="20"/>
                <w:szCs w:val="20"/>
                <w:color w:val="auto"/>
              </w:rPr>
            </w:pPr>
            <w:r>
              <w:rPr>
                <w:rFonts w:ascii="Times New Roman" w:cs="Times New Roman" w:eastAsia="Times New Roman" w:hAnsi="Times New Roman"/>
                <w:sz w:val="12"/>
                <w:szCs w:val="12"/>
                <w:color w:val="auto"/>
              </w:rPr>
              <w:t>PLBY</w:t>
            </w:r>
          </w:p>
        </w:tc>
        <w:tc>
          <w:tcPr>
            <w:tcW w:w="22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Nasdaq Global Market</w:t>
            </w:r>
          </w:p>
        </w:tc>
      </w:tr>
    </w:tbl>
    <w:p>
      <w:pPr>
        <w:spacing w:after="0" w:line="169" w:lineRule="exact"/>
        <w:rPr>
          <w:sz w:val="24"/>
          <w:szCs w:val="24"/>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6"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60" w:lineRule="exact"/>
        <w:rPr>
          <w:sz w:val="24"/>
          <w:szCs w:val="24"/>
          <w:color w:val="auto"/>
        </w:rPr>
      </w:pPr>
    </w:p>
    <w:p>
      <w:pPr>
        <w:ind w:right="2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467995</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16" w:right="299" w:bottom="1440" w:gutter="0" w:footer="0" w:header="0"/>
        </w:sectPr>
      </w:pPr>
    </w:p>
    <w:bookmarkStart w:id="1" w:name="page2"/>
    <w:bookmarkEnd w:id="1"/>
    <w:p>
      <w:pPr>
        <w:spacing w:after="0"/>
        <w:tabs>
          <w:tab w:leader="none" w:pos="600" w:val="left"/>
        </w:tabs>
        <w:rPr>
          <w:sz w:val="20"/>
          <w:szCs w:val="20"/>
          <w:color w:val="auto"/>
        </w:rPr>
      </w:pPr>
      <w:r>
        <w:rPr>
          <w:rFonts w:ascii="Times New Roman" w:cs="Times New Roman" w:eastAsia="Times New Roman" w:hAnsi="Times New Roman"/>
          <w:sz w:val="12"/>
          <w:szCs w:val="12"/>
          <w:b w:val="1"/>
          <w:bCs w:val="1"/>
          <w:color w:val="auto"/>
        </w:rPr>
        <w:t>Item 1.01</w:t>
        <w:tab/>
        <w:t>Entry into a Material Definitive Agreement.</w:t>
      </w:r>
    </w:p>
    <w:p>
      <w:pPr>
        <w:spacing w:after="0" w:line="172" w:lineRule="exact"/>
        <w:rPr>
          <w:sz w:val="20"/>
          <w:szCs w:val="20"/>
          <w:color w:val="auto"/>
        </w:rPr>
      </w:pPr>
    </w:p>
    <w:p>
      <w:pPr>
        <w:jc w:val="both"/>
        <w:ind w:right="100" w:firstLine="432"/>
        <w:spacing w:after="0" w:line="265" w:lineRule="auto"/>
        <w:rPr>
          <w:sz w:val="20"/>
          <w:szCs w:val="20"/>
          <w:color w:val="auto"/>
        </w:rPr>
      </w:pPr>
      <w:r>
        <w:rPr>
          <w:rFonts w:ascii="Times New Roman" w:cs="Times New Roman" w:eastAsia="Times New Roman" w:hAnsi="Times New Roman"/>
          <w:sz w:val="12"/>
          <w:szCs w:val="12"/>
          <w:color w:val="auto"/>
        </w:rPr>
        <w:t>On June 16, 2026, as further described in Item 5.07 below, the stockholders of Playboy, Inc. (the “Company”) approved the amendment (the “Amendment”) of the Company’s Amended &amp; Restated 2021 Equity and Incentive Compensation Plan (as so amended, the “Plan”) to increase the number of shares of Company common stock, par value $0.0001 per share (the “Common Stock”), available under the Plan by 10 million shares. No other changes were made to the Plan. The Amendment became effective as of June 16, 2026. A copy of the Amendment is attached hereto as Exhibit 10.1 and is incorporated herein by reference.</w:t>
      </w:r>
    </w:p>
    <w:p>
      <w:pPr>
        <w:spacing w:after="0" w:line="250"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2"/>
          <w:szCs w:val="12"/>
          <w:b w:val="1"/>
          <w:bCs w:val="1"/>
          <w:color w:val="auto"/>
        </w:rPr>
        <w:t>Item 5.07</w:t>
      </w:r>
      <w:r>
        <w:rPr>
          <w:sz w:val="20"/>
          <w:szCs w:val="20"/>
          <w:color w:val="auto"/>
        </w:rPr>
        <w:tab/>
      </w:r>
      <w:r>
        <w:rPr>
          <w:rFonts w:ascii="Times New Roman" w:cs="Times New Roman" w:eastAsia="Times New Roman" w:hAnsi="Times New Roman"/>
          <w:sz w:val="11"/>
          <w:szCs w:val="11"/>
          <w:b w:val="1"/>
          <w:bCs w:val="1"/>
          <w:color w:val="auto"/>
        </w:rPr>
        <w:t>Submission of Matters to a Vote of Security Holders.</w:t>
      </w:r>
    </w:p>
    <w:p>
      <w:pPr>
        <w:spacing w:after="0" w:line="136" w:lineRule="exact"/>
        <w:rPr>
          <w:sz w:val="20"/>
          <w:szCs w:val="20"/>
          <w:color w:val="auto"/>
        </w:rPr>
      </w:pPr>
    </w:p>
    <w:p>
      <w:pPr>
        <w:ind w:right="260" w:firstLine="432"/>
        <w:spacing w:after="0" w:line="279" w:lineRule="auto"/>
        <w:rPr>
          <w:sz w:val="20"/>
          <w:szCs w:val="20"/>
          <w:color w:val="auto"/>
        </w:rPr>
      </w:pPr>
      <w:r>
        <w:rPr>
          <w:rFonts w:ascii="Times New Roman" w:cs="Times New Roman" w:eastAsia="Times New Roman" w:hAnsi="Times New Roman"/>
          <w:sz w:val="12"/>
          <w:szCs w:val="12"/>
          <w:color w:val="auto"/>
        </w:rPr>
        <w:t>On June 16, 2026, the Company held its 2026 Annual Meeting of Stockholders (the “Annual Meeting”) to consider and vote on the following seven proposals, each of which is described in greater detail in the Company’s definitive proxy statement filed with the Securities and Exchange Commission on April 30, 2026:</w:t>
      </w:r>
    </w:p>
    <w:p>
      <w:pPr>
        <w:spacing w:after="0" w:line="129" w:lineRule="exact"/>
        <w:rPr>
          <w:sz w:val="20"/>
          <w:szCs w:val="20"/>
          <w:color w:val="auto"/>
        </w:rPr>
      </w:pPr>
    </w:p>
    <w:p>
      <w:pPr>
        <w:ind w:left="640" w:hanging="216"/>
        <w:spacing w:after="0"/>
        <w:tabs>
          <w:tab w:leader="none" w:pos="64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elect two Class III directors (Tracey Edmonds and James Yaffe) to the Company’s Board of Directors;</w:t>
      </w:r>
    </w:p>
    <w:p>
      <w:pPr>
        <w:spacing w:after="0" w:line="78"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approve an amendment to the Plan, to increase the number of shares of Common Stock available under such plan by 10 million shares (the “Incentive Plan Amendment Proposal”);</w:t>
      </w:r>
    </w:p>
    <w:p>
      <w:pPr>
        <w:spacing w:after="0" w:line="78"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ratify the appointment of RSM US LLP as the Company’s independent registered public accounting firm for the fiscal year ending December 31, 2026;</w:t>
      </w:r>
    </w:p>
    <w:p>
      <w:pPr>
        <w:spacing w:after="0" w:line="78"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hold a non-binding, advisory vote to approve the compensation of the Company’s named executive officers (“Say on Pay”); and</w:t>
      </w:r>
    </w:p>
    <w:p>
      <w:pPr>
        <w:spacing w:after="0" w:line="78" w:lineRule="exact"/>
        <w:rPr>
          <w:rFonts w:ascii="Times New Roman" w:cs="Times New Roman" w:eastAsia="Times New Roman" w:hAnsi="Times New Roman"/>
          <w:sz w:val="12"/>
          <w:szCs w:val="12"/>
          <w:color w:val="auto"/>
        </w:rPr>
      </w:pPr>
    </w:p>
    <w:p>
      <w:pPr>
        <w:ind w:left="640" w:hanging="216"/>
        <w:spacing w:after="0" w:line="279" w:lineRule="auto"/>
        <w:tabs>
          <w:tab w:leader="none" w:pos="64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approve the adjournment or postponement of the Annual Meeting, from time to time, to a later date or dates, if necessary or appropriate, to solicit additional proxies if there are insufficient votes to approve the Incentive Plan Amendment Proposal (the “Adjournment Proposal”).</w:t>
      </w:r>
    </w:p>
    <w:p>
      <w:pPr>
        <w:spacing w:after="0" w:line="39" w:lineRule="exact"/>
        <w:rPr>
          <w:sz w:val="20"/>
          <w:szCs w:val="20"/>
          <w:color w:val="auto"/>
        </w:rPr>
      </w:pPr>
    </w:p>
    <w:p>
      <w:pPr>
        <w:ind w:right="120" w:firstLine="432"/>
        <w:spacing w:after="0" w:line="260" w:lineRule="auto"/>
        <w:rPr>
          <w:sz w:val="20"/>
          <w:szCs w:val="20"/>
          <w:color w:val="auto"/>
        </w:rPr>
      </w:pPr>
      <w:r>
        <w:rPr>
          <w:rFonts w:ascii="Times New Roman" w:cs="Times New Roman" w:eastAsia="Times New Roman" w:hAnsi="Times New Roman"/>
          <w:sz w:val="12"/>
          <w:szCs w:val="12"/>
          <w:color w:val="auto"/>
        </w:rPr>
        <w:t>Below are the final voting results for each of the items voted on at the Annual Meeting, indicating that: (i) each of the director nominees received a plurality of the votes cast and, therefore, each was elected, (ii) the Incentive Plan Amendment Proposal was approved by a majority of votes cast, (iii) a majority of the votes cast voted to ratify RSM US LLP as the Company’s independent registered public accounting firm for the fiscal year ending December 31, 2026, (iv) a majority of the votes cast voted in favor of approving, on a non-binding, advisory basis, the compensation of the Company’s named executive officers, and (v) a majority of the votes cast voted to approve the Adjournment Proposal.</w:t>
      </w:r>
    </w:p>
    <w:p>
      <w:pPr>
        <w:sectPr>
          <w:pgSz w:w="11900" w:h="16838" w:orient="portrait"/>
          <w:cols w:equalWidth="0" w:num="1">
            <w:col w:w="11260"/>
          </w:cols>
          <w:pgMar w:left="300" w:top="665" w:right="339" w:bottom="1440" w:gutter="0" w:footer="0" w:header="0"/>
        </w:sectPr>
      </w:pP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Election of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Tracey Edmonds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James Yaffe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Incentive Plan Amendment Proposal:</w:t>
      </w:r>
    </w:p>
    <w:p>
      <w:pPr>
        <w:spacing w:after="0" w:line="172" w:lineRule="exact"/>
        <w:rPr>
          <w:sz w:val="20"/>
          <w:szCs w:val="20"/>
          <w:color w:val="auto"/>
        </w:rPr>
      </w:pPr>
    </w:p>
    <w:p>
      <w:pPr>
        <w:ind w:right="380"/>
        <w:spacing w:after="0" w:line="248" w:lineRule="auto"/>
        <w:rPr>
          <w:sz w:val="20"/>
          <w:szCs w:val="20"/>
          <w:color w:val="auto"/>
        </w:rPr>
      </w:pPr>
      <w:r>
        <w:rPr>
          <w:rFonts w:ascii="Times New Roman" w:cs="Times New Roman" w:eastAsia="Times New Roman" w:hAnsi="Times New Roman"/>
          <w:sz w:val="12"/>
          <w:szCs w:val="12"/>
          <w:color w:val="auto"/>
        </w:rPr>
        <w:t>Approve an amendment to the Plan to increase the number of shares of Common Stock available under the Plan by 10 million shares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Ratification of Auditors:</w:t>
      </w:r>
    </w:p>
    <w:p>
      <w:pPr>
        <w:spacing w:after="0" w:line="172"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2"/>
          <w:szCs w:val="12"/>
          <w:color w:val="auto"/>
        </w:rPr>
        <w:t>Ratify the appointment of RSM US LLP as independent registered public accountants of the Company for 2026</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gridSpan w:val="2"/>
          </w:tcPr>
          <w:p>
            <w:pPr>
              <w:jc w:val="center"/>
              <w:ind w:right="460"/>
              <w:spacing w:after="0"/>
              <w:rPr>
                <w:sz w:val="20"/>
                <w:szCs w:val="20"/>
                <w:color w:val="auto"/>
              </w:rPr>
            </w:pPr>
            <w:r>
              <w:rPr>
                <w:rFonts w:ascii="Times New Roman" w:cs="Times New Roman" w:eastAsia="Times New Roman" w:hAnsi="Times New Roman"/>
                <w:sz w:val="12"/>
                <w:szCs w:val="12"/>
                <w:b w:val="1"/>
                <w:bCs w:val="1"/>
                <w:color w:val="auto"/>
                <w:w w:val="96"/>
              </w:rPr>
              <w:t>For</w:t>
            </w: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1"/>
              </w:rPr>
              <w:t>Withheld</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0" w:type="dxa"/>
            <w:vAlign w:val="bottom"/>
            <w:gridSpan w:val="6"/>
          </w:tcPr>
          <w:p>
            <w:pPr>
              <w:jc w:val="center"/>
              <w:ind w:left="260"/>
              <w:spacing w:after="0"/>
              <w:rPr>
                <w:sz w:val="20"/>
                <w:szCs w:val="20"/>
                <w:color w:val="auto"/>
              </w:rPr>
            </w:pPr>
            <w:r>
              <w:rPr>
                <w:rFonts w:ascii="Times New Roman" w:cs="Times New Roman" w:eastAsia="Times New Roman" w:hAnsi="Times New Roman"/>
                <w:sz w:val="12"/>
                <w:szCs w:val="12"/>
                <w:b w:val="1"/>
                <w:bCs w:val="1"/>
                <w:color w:val="auto"/>
                <w:w w:val="98"/>
              </w:rPr>
              <w:t>Broker Non-Votes</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8"/>
        </w:trPr>
        <w:tc>
          <w:tcPr>
            <w:tcW w:w="1520" w:type="dxa"/>
            <w:vAlign w:val="bottom"/>
            <w:gridSpan w:val="5"/>
          </w:tcPr>
          <w:p>
            <w:pPr>
              <w:jc w:val="center"/>
              <w:ind w:left="360"/>
              <w:spacing w:after="0"/>
              <w:rPr>
                <w:sz w:val="20"/>
                <w:szCs w:val="20"/>
                <w:color w:val="auto"/>
              </w:rPr>
            </w:pPr>
            <w:r>
              <w:rPr>
                <w:rFonts w:ascii="Times New Roman" w:cs="Times New Roman" w:eastAsia="Times New Roman" w:hAnsi="Times New Roman"/>
                <w:sz w:val="12"/>
                <w:szCs w:val="12"/>
                <w:color w:val="auto"/>
                <w:w w:val="99"/>
              </w:rPr>
              <w:t>66,785,683</w:t>
            </w:r>
          </w:p>
        </w:tc>
        <w:tc>
          <w:tcPr>
            <w:tcW w:w="2000" w:type="dxa"/>
            <w:vAlign w:val="bottom"/>
            <w:gridSpan w:val="5"/>
          </w:tcPr>
          <w:p>
            <w:pPr>
              <w:jc w:val="center"/>
              <w:ind w:left="1340"/>
              <w:spacing w:after="0"/>
              <w:rPr>
                <w:sz w:val="20"/>
                <w:szCs w:val="20"/>
                <w:color w:val="auto"/>
              </w:rPr>
            </w:pPr>
            <w:r>
              <w:rPr>
                <w:rFonts w:ascii="Times New Roman" w:cs="Times New Roman" w:eastAsia="Times New Roman" w:hAnsi="Times New Roman"/>
                <w:sz w:val="12"/>
                <w:szCs w:val="12"/>
                <w:color w:val="auto"/>
                <w:w w:val="99"/>
              </w:rPr>
              <w:t>6,442,410</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20" w:type="dxa"/>
            <w:vAlign w:val="bottom"/>
            <w:gridSpan w:val="5"/>
          </w:tcPr>
          <w:p>
            <w:pPr>
              <w:jc w:val="center"/>
              <w:ind w:left="460"/>
              <w:spacing w:after="0"/>
              <w:rPr>
                <w:sz w:val="20"/>
                <w:szCs w:val="20"/>
                <w:color w:val="auto"/>
              </w:rPr>
            </w:pPr>
            <w:r>
              <w:rPr>
                <w:rFonts w:ascii="Times New Roman" w:cs="Times New Roman" w:eastAsia="Times New Roman" w:hAnsi="Times New Roman"/>
                <w:sz w:val="12"/>
                <w:szCs w:val="12"/>
                <w:color w:val="auto"/>
                <w:w w:val="99"/>
              </w:rPr>
              <w:t>22,070,425</w:t>
            </w:r>
          </w:p>
        </w:tc>
        <w:tc>
          <w:tcPr>
            <w:tcW w:w="180" w:type="dxa"/>
            <w:vAlign w:val="bottom"/>
          </w:tcPr>
          <w:p>
            <w:pPr>
              <w:spacing w:after="0"/>
              <w:rPr>
                <w:sz w:val="13"/>
                <w:szCs w:val="13"/>
                <w:color w:val="auto"/>
              </w:rPr>
            </w:pPr>
          </w:p>
        </w:tc>
      </w:tr>
      <w:tr>
        <w:trPr>
          <w:trHeight w:val="155"/>
        </w:trPr>
        <w:tc>
          <w:tcPr>
            <w:tcW w:w="1520" w:type="dxa"/>
            <w:vAlign w:val="bottom"/>
            <w:gridSpan w:val="5"/>
          </w:tcPr>
          <w:p>
            <w:pPr>
              <w:jc w:val="center"/>
              <w:ind w:left="360"/>
              <w:spacing w:after="0"/>
              <w:rPr>
                <w:sz w:val="20"/>
                <w:szCs w:val="20"/>
                <w:color w:val="auto"/>
              </w:rPr>
            </w:pPr>
            <w:r>
              <w:rPr>
                <w:rFonts w:ascii="Times New Roman" w:cs="Times New Roman" w:eastAsia="Times New Roman" w:hAnsi="Times New Roman"/>
                <w:sz w:val="12"/>
                <w:szCs w:val="12"/>
                <w:color w:val="auto"/>
                <w:w w:val="99"/>
              </w:rPr>
              <w:t>66,833,063</w:t>
            </w:r>
          </w:p>
        </w:tc>
        <w:tc>
          <w:tcPr>
            <w:tcW w:w="2000" w:type="dxa"/>
            <w:vAlign w:val="bottom"/>
            <w:gridSpan w:val="5"/>
          </w:tcPr>
          <w:p>
            <w:pPr>
              <w:jc w:val="center"/>
              <w:ind w:left="1340"/>
              <w:spacing w:after="0"/>
              <w:rPr>
                <w:sz w:val="20"/>
                <w:szCs w:val="20"/>
                <w:color w:val="auto"/>
              </w:rPr>
            </w:pPr>
            <w:r>
              <w:rPr>
                <w:rFonts w:ascii="Times New Roman" w:cs="Times New Roman" w:eastAsia="Times New Roman" w:hAnsi="Times New Roman"/>
                <w:sz w:val="12"/>
                <w:szCs w:val="12"/>
                <w:color w:val="auto"/>
                <w:w w:val="99"/>
              </w:rPr>
              <w:t>6,395,030</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20" w:type="dxa"/>
            <w:vAlign w:val="bottom"/>
            <w:gridSpan w:val="5"/>
          </w:tcPr>
          <w:p>
            <w:pPr>
              <w:jc w:val="center"/>
              <w:ind w:left="460"/>
              <w:spacing w:after="0"/>
              <w:rPr>
                <w:sz w:val="20"/>
                <w:szCs w:val="20"/>
                <w:color w:val="auto"/>
              </w:rPr>
            </w:pPr>
            <w:r>
              <w:rPr>
                <w:rFonts w:ascii="Times New Roman" w:cs="Times New Roman" w:eastAsia="Times New Roman" w:hAnsi="Times New Roman"/>
                <w:sz w:val="12"/>
                <w:szCs w:val="12"/>
                <w:color w:val="auto"/>
                <w:w w:val="99"/>
              </w:rPr>
              <w:t>22,070,425</w:t>
            </w:r>
          </w:p>
        </w:tc>
        <w:tc>
          <w:tcPr>
            <w:tcW w:w="180" w:type="dxa"/>
            <w:vAlign w:val="bottom"/>
          </w:tcPr>
          <w:p>
            <w:pPr>
              <w:spacing w:after="0"/>
              <w:rPr>
                <w:sz w:val="13"/>
                <w:szCs w:val="13"/>
                <w:color w:val="auto"/>
              </w:rPr>
            </w:pPr>
          </w:p>
        </w:tc>
      </w:tr>
      <w:tr>
        <w:trPr>
          <w:trHeight w:val="513"/>
        </w:trPr>
        <w:tc>
          <w:tcPr>
            <w:tcW w:w="180" w:type="dxa"/>
            <w:vAlign w:val="bottom"/>
          </w:tcPr>
          <w:p>
            <w:pPr>
              <w:spacing w:after="0"/>
              <w:rPr>
                <w:sz w:val="24"/>
                <w:szCs w:val="24"/>
                <w:color w:val="auto"/>
              </w:rPr>
            </w:pPr>
          </w:p>
        </w:tc>
        <w:tc>
          <w:tcPr>
            <w:tcW w:w="1340" w:type="dxa"/>
            <w:vAlign w:val="bottom"/>
            <w:gridSpan w:val="4"/>
          </w:tcPr>
          <w:p>
            <w:pPr>
              <w:jc w:val="center"/>
              <w:ind w:right="1160"/>
              <w:spacing w:after="0"/>
              <w:rPr>
                <w:sz w:val="20"/>
                <w:szCs w:val="20"/>
                <w:color w:val="auto"/>
              </w:rPr>
            </w:pPr>
            <w:r>
              <w:rPr>
                <w:rFonts w:ascii="Times New Roman" w:cs="Times New Roman" w:eastAsia="Times New Roman" w:hAnsi="Times New Roman"/>
                <w:sz w:val="12"/>
                <w:szCs w:val="12"/>
                <w:b w:val="1"/>
                <w:bCs w:val="1"/>
                <w:color w:val="auto"/>
                <w:w w:val="96"/>
              </w:rPr>
              <w:t>For</w:t>
            </w:r>
          </w:p>
        </w:tc>
        <w:tc>
          <w:tcPr>
            <w:tcW w:w="2000" w:type="dxa"/>
            <w:vAlign w:val="bottom"/>
            <w:gridSpan w:val="5"/>
          </w:tcPr>
          <w:p>
            <w:pPr>
              <w:jc w:val="center"/>
              <w:ind w:right="980"/>
              <w:spacing w:after="0"/>
              <w:rPr>
                <w:sz w:val="20"/>
                <w:szCs w:val="20"/>
                <w:color w:val="auto"/>
              </w:rPr>
            </w:pPr>
            <w:r>
              <w:rPr>
                <w:rFonts w:ascii="Times New Roman" w:cs="Times New Roman" w:eastAsia="Times New Roman" w:hAnsi="Times New Roman"/>
                <w:sz w:val="12"/>
                <w:szCs w:val="12"/>
                <w:b w:val="1"/>
                <w:bCs w:val="1"/>
                <w:color w:val="auto"/>
                <w:w w:val="96"/>
              </w:rPr>
              <w:t>Against</w:t>
            </w:r>
          </w:p>
        </w:tc>
        <w:tc>
          <w:tcPr>
            <w:tcW w:w="980" w:type="dxa"/>
            <w:vAlign w:val="bottom"/>
            <w:gridSpan w:val="3"/>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w w:val="99"/>
              </w:rPr>
              <w:t>Abstain</w:t>
            </w:r>
          </w:p>
        </w:tc>
        <w:tc>
          <w:tcPr>
            <w:tcW w:w="500" w:type="dxa"/>
            <w:vAlign w:val="bottom"/>
          </w:tcPr>
          <w:p>
            <w:pPr>
              <w:spacing w:after="0"/>
              <w:rPr>
                <w:sz w:val="24"/>
                <w:szCs w:val="24"/>
                <w:color w:val="auto"/>
              </w:rPr>
            </w:pPr>
          </w:p>
        </w:tc>
        <w:tc>
          <w:tcPr>
            <w:tcW w:w="1100" w:type="dxa"/>
            <w:vAlign w:val="bottom"/>
            <w:gridSpan w:val="5"/>
          </w:tcPr>
          <w:p>
            <w:pPr>
              <w:jc w:val="center"/>
              <w:ind w:left="120"/>
              <w:spacing w:after="0"/>
              <w:rPr>
                <w:sz w:val="20"/>
                <w:szCs w:val="20"/>
                <w:color w:val="auto"/>
              </w:rPr>
            </w:pPr>
            <w:r>
              <w:rPr>
                <w:rFonts w:ascii="Times New Roman" w:cs="Times New Roman" w:eastAsia="Times New Roman" w:hAnsi="Times New Roman"/>
                <w:sz w:val="12"/>
                <w:szCs w:val="12"/>
                <w:b w:val="1"/>
                <w:bCs w:val="1"/>
                <w:color w:val="auto"/>
                <w:w w:val="98"/>
              </w:rPr>
              <w:t>Broker Non-Votes</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223"/>
        </w:trPr>
        <w:tc>
          <w:tcPr>
            <w:tcW w:w="880" w:type="dxa"/>
            <w:vAlign w:val="bottom"/>
            <w:gridSpan w:val="3"/>
          </w:tcPr>
          <w:p>
            <w:pPr>
              <w:jc w:val="right"/>
              <w:ind w:right="340"/>
              <w:spacing w:after="0"/>
              <w:rPr>
                <w:sz w:val="20"/>
                <w:szCs w:val="20"/>
                <w:color w:val="auto"/>
              </w:rPr>
            </w:pPr>
            <w:r>
              <w:rPr>
                <w:rFonts w:ascii="Times New Roman" w:cs="Times New Roman" w:eastAsia="Times New Roman" w:hAnsi="Times New Roman"/>
                <w:sz w:val="12"/>
                <w:szCs w:val="12"/>
                <w:color w:val="auto"/>
                <w:w w:val="96"/>
              </w:rPr>
              <w:t>64,871,388</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gridSpan w:val="3"/>
          </w:tcPr>
          <w:p>
            <w:pPr>
              <w:jc w:val="right"/>
              <w:ind w:right="740"/>
              <w:spacing w:after="0"/>
              <w:rPr>
                <w:sz w:val="20"/>
                <w:szCs w:val="20"/>
                <w:color w:val="auto"/>
              </w:rPr>
            </w:pPr>
            <w:r>
              <w:rPr>
                <w:rFonts w:ascii="Times New Roman" w:cs="Times New Roman" w:eastAsia="Times New Roman" w:hAnsi="Times New Roman"/>
                <w:sz w:val="12"/>
                <w:szCs w:val="12"/>
                <w:color w:val="auto"/>
              </w:rPr>
              <w:t>8,324,758</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31,947</w:t>
            </w:r>
          </w:p>
        </w:tc>
        <w:tc>
          <w:tcPr>
            <w:tcW w:w="500" w:type="dxa"/>
            <w:vAlign w:val="bottom"/>
          </w:tcPr>
          <w:p>
            <w:pPr>
              <w:spacing w:after="0"/>
              <w:rPr>
                <w:sz w:val="19"/>
                <w:szCs w:val="19"/>
                <w:color w:val="auto"/>
              </w:rPr>
            </w:pPr>
          </w:p>
        </w:tc>
        <w:tc>
          <w:tcPr>
            <w:tcW w:w="1420" w:type="dxa"/>
            <w:vAlign w:val="bottom"/>
            <w:gridSpan w:val="5"/>
          </w:tcPr>
          <w:p>
            <w:pPr>
              <w:jc w:val="right"/>
              <w:spacing w:after="0"/>
              <w:rPr>
                <w:sz w:val="20"/>
                <w:szCs w:val="20"/>
                <w:color w:val="auto"/>
              </w:rPr>
            </w:pPr>
            <w:r>
              <w:rPr>
                <w:rFonts w:ascii="Times New Roman" w:cs="Times New Roman" w:eastAsia="Times New Roman" w:hAnsi="Times New Roman"/>
                <w:sz w:val="12"/>
                <w:szCs w:val="12"/>
                <w:color w:val="auto"/>
              </w:rPr>
              <w:t>22,070,425</w:t>
            </w:r>
          </w:p>
        </w:tc>
        <w:tc>
          <w:tcPr>
            <w:tcW w:w="180" w:type="dxa"/>
            <w:vAlign w:val="bottom"/>
          </w:tcPr>
          <w:p>
            <w:pPr>
              <w:spacing w:after="0"/>
              <w:rPr>
                <w:sz w:val="19"/>
                <w:szCs w:val="19"/>
                <w:color w:val="auto"/>
              </w:rPr>
            </w:pPr>
          </w:p>
        </w:tc>
      </w:tr>
      <w:tr>
        <w:trPr>
          <w:trHeight w:val="585"/>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gridSpan w:val="2"/>
          </w:tcPr>
          <w:p>
            <w:pPr>
              <w:jc w:val="center"/>
              <w:ind w:right="460"/>
              <w:spacing w:after="0"/>
              <w:rPr>
                <w:sz w:val="20"/>
                <w:szCs w:val="20"/>
                <w:color w:val="auto"/>
              </w:rPr>
            </w:pPr>
            <w:r>
              <w:rPr>
                <w:rFonts w:ascii="Times New Roman" w:cs="Times New Roman" w:eastAsia="Times New Roman" w:hAnsi="Times New Roman"/>
                <w:sz w:val="12"/>
                <w:szCs w:val="12"/>
                <w:b w:val="1"/>
                <w:bCs w:val="1"/>
                <w:color w:val="auto"/>
                <w:w w:val="96"/>
              </w:rPr>
              <w:t>For</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Against</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4"/>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9"/>
              </w:rPr>
              <w:t>Abstain</w:t>
            </w:r>
          </w:p>
        </w:tc>
      </w:tr>
      <w:tr>
        <w:trPr>
          <w:trHeight w:val="20"/>
        </w:trPr>
        <w:tc>
          <w:tcPr>
            <w:tcW w:w="880" w:type="dxa"/>
            <w:vAlign w:val="bottom"/>
            <w:gridSpan w:val="3"/>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3"/>
        </w:trPr>
        <w:tc>
          <w:tcPr>
            <w:tcW w:w="1520" w:type="dxa"/>
            <w:vAlign w:val="bottom"/>
            <w:gridSpan w:val="5"/>
          </w:tcPr>
          <w:p>
            <w:pPr>
              <w:jc w:val="center"/>
              <w:ind w:left="360"/>
              <w:spacing w:after="0"/>
              <w:rPr>
                <w:sz w:val="20"/>
                <w:szCs w:val="20"/>
                <w:color w:val="auto"/>
              </w:rPr>
            </w:pPr>
            <w:r>
              <w:rPr>
                <w:rFonts w:ascii="Times New Roman" w:cs="Times New Roman" w:eastAsia="Times New Roman" w:hAnsi="Times New Roman"/>
                <w:sz w:val="12"/>
                <w:szCs w:val="12"/>
                <w:color w:val="auto"/>
                <w:w w:val="99"/>
              </w:rPr>
              <w:t>94,484,116</w:t>
            </w:r>
          </w:p>
        </w:tc>
        <w:tc>
          <w:tcPr>
            <w:tcW w:w="1900" w:type="dxa"/>
            <w:vAlign w:val="bottom"/>
            <w:gridSpan w:val="4"/>
          </w:tcPr>
          <w:p>
            <w:pPr>
              <w:jc w:val="center"/>
              <w:ind w:left="1440"/>
              <w:spacing w:after="0"/>
              <w:rPr>
                <w:sz w:val="20"/>
                <w:szCs w:val="20"/>
                <w:color w:val="auto"/>
              </w:rPr>
            </w:pPr>
            <w:r>
              <w:rPr>
                <w:rFonts w:ascii="Times New Roman" w:cs="Times New Roman" w:eastAsia="Times New Roman" w:hAnsi="Times New Roman"/>
                <w:sz w:val="12"/>
                <w:szCs w:val="12"/>
                <w:color w:val="auto"/>
              </w:rPr>
              <w:t>582,623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gridSpan w:val="4"/>
          </w:tcPr>
          <w:p>
            <w:pPr>
              <w:jc w:val="center"/>
              <w:ind w:left="700"/>
              <w:spacing w:after="0"/>
              <w:rPr>
                <w:sz w:val="20"/>
                <w:szCs w:val="20"/>
                <w:color w:val="auto"/>
              </w:rPr>
            </w:pPr>
            <w:r>
              <w:rPr>
                <w:rFonts w:ascii="Times New Roman" w:cs="Times New Roman" w:eastAsia="Times New Roman" w:hAnsi="Times New Roman"/>
                <w:sz w:val="12"/>
                <w:szCs w:val="12"/>
                <w:color w:val="auto"/>
              </w:rPr>
              <w:t>231,779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-2950845</wp:posOffset>
            </wp:positionH>
            <wp:positionV relativeFrom="paragraph">
              <wp:posOffset>558800</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-1199515</wp:posOffset>
            </wp:positionV>
            <wp:extent cx="7120890" cy="971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0890" cy="97155"/>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-662305</wp:posOffset>
            </wp:positionV>
            <wp:extent cx="7132320" cy="1771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7165"/>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-136525</wp:posOffset>
            </wp:positionV>
            <wp:extent cx="7120890" cy="1771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0890" cy="177165"/>
                    </a:xfrm>
                    <a:prstGeom prst="rect">
                      <a:avLst/>
                    </a:prstGeom>
                    <a:noFill/>
                  </pic:spPr>
                </pic:pic>
              </a:graphicData>
            </a:graphic>
          </wp:anchor>
        </w:drawing>
      </w:r>
    </w:p>
    <w:p>
      <w:pPr>
        <w:sectPr>
          <w:pgSz w:w="11900" w:h="16838" w:orient="portrait"/>
          <w:cols w:equalWidth="0" w:num="2">
            <w:col w:w="4260" w:space="360"/>
            <w:col w:w="6640"/>
          </w:cols>
          <w:pgMar w:left="300" w:top="665"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2"/>
          <w:szCs w:val="12"/>
          <w:b w:val="1"/>
          <w:bCs w:val="1"/>
          <w:u w:val="single" w:color="auto"/>
          <w:color w:val="auto"/>
        </w:rPr>
        <w:t>Say on Pay:</w:t>
      </w:r>
    </w:p>
    <w:p>
      <w:pPr>
        <w:spacing w:after="0" w:line="172" w:lineRule="exact"/>
        <w:rPr>
          <w:sz w:val="20"/>
          <w:szCs w:val="20"/>
          <w:color w:val="auto"/>
        </w:rPr>
      </w:pPr>
    </w:p>
    <w:p>
      <w:pPr>
        <w:ind w:right="720"/>
        <w:spacing w:after="0" w:line="236" w:lineRule="auto"/>
        <w:rPr>
          <w:sz w:val="20"/>
          <w:szCs w:val="20"/>
          <w:color w:val="auto"/>
        </w:rPr>
      </w:pPr>
      <w:r>
        <w:rPr>
          <w:rFonts w:ascii="Times New Roman" w:cs="Times New Roman" w:eastAsia="Times New Roman" w:hAnsi="Times New Roman"/>
          <w:sz w:val="12"/>
          <w:szCs w:val="12"/>
          <w:color w:val="auto"/>
        </w:rPr>
        <w:t>Non-binding advisory vote to approve the compensation of the Company’s named executive officers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Adjournment Proposal:</w:t>
      </w:r>
    </w:p>
    <w:p>
      <w:pPr>
        <w:spacing w:after="0" w:line="172"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2"/>
          <w:szCs w:val="12"/>
          <w:color w:val="auto"/>
        </w:rPr>
        <w:t>Approve the adjournment or postponement of the Annual Meeting, from time to time, to a later date or dates, if necessary or appropriate, to solicit additional proxies if there are insufficient votes to approve the Incentive Plan Amendment Proposal</w:t>
      </w:r>
    </w:p>
    <w:p>
      <w:pPr>
        <w:spacing w:after="0" w:line="37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2"/>
          <w:szCs w:val="12"/>
          <w:b w:val="1"/>
          <w:bCs w:val="1"/>
          <w:color w:val="auto"/>
        </w:rPr>
        <w:t>Item 8.01</w:t>
        <w:tab/>
        <w:t>Other Events.</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tcPr>
          <w:p>
            <w:pPr>
              <w:spacing w:after="0"/>
              <w:rPr>
                <w:sz w:val="12"/>
                <w:szCs w:val="12"/>
                <w:color w:val="auto"/>
              </w:rPr>
            </w:pPr>
          </w:p>
        </w:tc>
        <w:tc>
          <w:tcPr>
            <w:tcW w:w="4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6"/>
              </w:rPr>
              <w:t>For</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3"/>
          </w:tcPr>
          <w:p>
            <w:pPr>
              <w:jc w:val="center"/>
              <w:ind w:left="320"/>
              <w:spacing w:after="0"/>
              <w:rPr>
                <w:sz w:val="20"/>
                <w:szCs w:val="20"/>
                <w:color w:val="auto"/>
              </w:rPr>
            </w:pPr>
            <w:r>
              <w:rPr>
                <w:rFonts w:ascii="Times New Roman" w:cs="Times New Roman" w:eastAsia="Times New Roman" w:hAnsi="Times New Roman"/>
                <w:sz w:val="12"/>
                <w:szCs w:val="12"/>
                <w:b w:val="1"/>
                <w:bCs w:val="1"/>
                <w:color w:val="auto"/>
                <w:w w:val="96"/>
              </w:rPr>
              <w:t>Against</w:t>
            </w: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gridSpan w:val="3"/>
          </w:tcPr>
          <w:p>
            <w:pPr>
              <w:jc w:val="center"/>
              <w:ind w:right="400"/>
              <w:spacing w:after="0"/>
              <w:rPr>
                <w:sz w:val="20"/>
                <w:szCs w:val="20"/>
                <w:color w:val="auto"/>
              </w:rPr>
            </w:pPr>
            <w:r>
              <w:rPr>
                <w:rFonts w:ascii="Times New Roman" w:cs="Times New Roman" w:eastAsia="Times New Roman" w:hAnsi="Times New Roman"/>
                <w:sz w:val="12"/>
                <w:szCs w:val="12"/>
                <w:b w:val="1"/>
                <w:bCs w:val="1"/>
                <w:color w:val="auto"/>
                <w:w w:val="99"/>
              </w:rPr>
              <w:t>Abstain</w:t>
            </w:r>
          </w:p>
        </w:tc>
        <w:tc>
          <w:tcPr>
            <w:tcW w:w="1520" w:type="dxa"/>
            <w:vAlign w:val="bottom"/>
            <w:gridSpan w:val="4"/>
          </w:tcPr>
          <w:p>
            <w:pPr>
              <w:jc w:val="center"/>
              <w:ind w:left="540"/>
              <w:spacing w:after="0"/>
              <w:rPr>
                <w:sz w:val="20"/>
                <w:szCs w:val="20"/>
                <w:color w:val="auto"/>
              </w:rPr>
            </w:pPr>
            <w:r>
              <w:rPr>
                <w:rFonts w:ascii="Times New Roman" w:cs="Times New Roman" w:eastAsia="Times New Roman" w:hAnsi="Times New Roman"/>
                <w:sz w:val="12"/>
                <w:szCs w:val="12"/>
                <w:b w:val="1"/>
                <w:bCs w:val="1"/>
                <w:color w:val="auto"/>
                <w:w w:val="98"/>
              </w:rPr>
              <w:t>Broker Non-Votes</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r>
      <w:tr>
        <w:trPr>
          <w:trHeight w:val="223"/>
        </w:trPr>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w w:val="96"/>
              </w:rPr>
              <w:t>65,300,890</w:t>
            </w:r>
          </w:p>
        </w:tc>
        <w:tc>
          <w:tcPr>
            <w:tcW w:w="2000" w:type="dxa"/>
            <w:vAlign w:val="bottom"/>
            <w:gridSpan w:val="5"/>
          </w:tcPr>
          <w:p>
            <w:pPr>
              <w:jc w:val="right"/>
              <w:ind w:right="340"/>
              <w:spacing w:after="0"/>
              <w:rPr>
                <w:sz w:val="20"/>
                <w:szCs w:val="20"/>
                <w:color w:val="auto"/>
              </w:rPr>
            </w:pPr>
            <w:r>
              <w:rPr>
                <w:rFonts w:ascii="Times New Roman" w:cs="Times New Roman" w:eastAsia="Times New Roman" w:hAnsi="Times New Roman"/>
                <w:sz w:val="12"/>
                <w:szCs w:val="12"/>
                <w:color w:val="auto"/>
              </w:rPr>
              <w:t>7,874,378</w:t>
            </w:r>
          </w:p>
        </w:tc>
        <w:tc>
          <w:tcPr>
            <w:tcW w:w="1380" w:type="dxa"/>
            <w:vAlign w:val="bottom"/>
            <w:gridSpan w:val="4"/>
          </w:tcPr>
          <w:p>
            <w:pPr>
              <w:jc w:val="right"/>
              <w:ind w:right="40"/>
              <w:spacing w:after="0"/>
              <w:rPr>
                <w:sz w:val="20"/>
                <w:szCs w:val="20"/>
                <w:color w:val="auto"/>
              </w:rPr>
            </w:pPr>
            <w:r>
              <w:rPr>
                <w:rFonts w:ascii="Times New Roman" w:cs="Times New Roman" w:eastAsia="Times New Roman" w:hAnsi="Times New Roman"/>
                <w:sz w:val="12"/>
                <w:szCs w:val="12"/>
                <w:color w:val="auto"/>
              </w:rPr>
              <w:t>52,825</w:t>
            </w:r>
          </w:p>
        </w:tc>
        <w:tc>
          <w:tcPr>
            <w:tcW w:w="580" w:type="dxa"/>
            <w:vAlign w:val="bottom"/>
          </w:tcPr>
          <w:p>
            <w:pPr>
              <w:spacing w:after="0"/>
              <w:rPr>
                <w:sz w:val="19"/>
                <w:szCs w:val="19"/>
                <w:color w:val="auto"/>
              </w:rPr>
            </w:pPr>
          </w:p>
        </w:tc>
        <w:tc>
          <w:tcPr>
            <w:tcW w:w="1520" w:type="dxa"/>
            <w:vAlign w:val="bottom"/>
            <w:gridSpan w:val="4"/>
          </w:tcPr>
          <w:p>
            <w:pPr>
              <w:jc w:val="right"/>
              <w:ind w:right="180"/>
              <w:spacing w:after="0"/>
              <w:rPr>
                <w:sz w:val="20"/>
                <w:szCs w:val="20"/>
                <w:color w:val="auto"/>
              </w:rPr>
            </w:pPr>
            <w:r>
              <w:rPr>
                <w:rFonts w:ascii="Times New Roman" w:cs="Times New Roman" w:eastAsia="Times New Roman" w:hAnsi="Times New Roman"/>
                <w:sz w:val="12"/>
                <w:szCs w:val="12"/>
                <w:color w:val="auto"/>
              </w:rPr>
              <w:t>22,070,425</w:t>
            </w:r>
          </w:p>
        </w:tc>
      </w:tr>
      <w:tr>
        <w:trPr>
          <w:trHeight w:val="585"/>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gridSpan w:val="4"/>
          </w:tcPr>
          <w:p>
            <w:pPr>
              <w:jc w:val="center"/>
              <w:ind w:right="1560"/>
              <w:spacing w:after="0"/>
              <w:rPr>
                <w:sz w:val="20"/>
                <w:szCs w:val="20"/>
                <w:color w:val="auto"/>
              </w:rPr>
            </w:pPr>
            <w:r>
              <w:rPr>
                <w:rFonts w:ascii="Times New Roman" w:cs="Times New Roman" w:eastAsia="Times New Roman" w:hAnsi="Times New Roman"/>
                <w:sz w:val="12"/>
                <w:szCs w:val="12"/>
                <w:b w:val="1"/>
                <w:bCs w:val="1"/>
                <w:color w:val="auto"/>
                <w:w w:val="96"/>
              </w:rPr>
              <w:t>For</w:t>
            </w:r>
          </w:p>
        </w:tc>
        <w:tc>
          <w:tcPr>
            <w:tcW w:w="400" w:type="dxa"/>
            <w:vAlign w:val="bottom"/>
          </w:tcPr>
          <w:p>
            <w:pPr>
              <w:spacing w:after="0"/>
              <w:rPr>
                <w:sz w:val="24"/>
                <w:szCs w:val="24"/>
                <w:color w:val="auto"/>
              </w:rPr>
            </w:pPr>
          </w:p>
        </w:tc>
        <w:tc>
          <w:tcPr>
            <w:tcW w:w="1560" w:type="dxa"/>
            <w:vAlign w:val="bottom"/>
            <w:gridSpan w:val="4"/>
          </w:tcPr>
          <w:p>
            <w:pPr>
              <w:jc w:val="center"/>
              <w:ind w:right="1160"/>
              <w:spacing w:after="0"/>
              <w:rPr>
                <w:sz w:val="20"/>
                <w:szCs w:val="20"/>
                <w:color w:val="auto"/>
              </w:rPr>
            </w:pPr>
            <w:r>
              <w:rPr>
                <w:rFonts w:ascii="Times New Roman" w:cs="Times New Roman" w:eastAsia="Times New Roman" w:hAnsi="Times New Roman"/>
                <w:sz w:val="12"/>
                <w:szCs w:val="12"/>
                <w:b w:val="1"/>
                <w:bCs w:val="1"/>
                <w:color w:val="auto"/>
              </w:rPr>
              <w:t>Against</w:t>
            </w:r>
          </w:p>
        </w:tc>
        <w:tc>
          <w:tcPr>
            <w:tcW w:w="600" w:type="dxa"/>
            <w:vAlign w:val="bottom"/>
          </w:tcPr>
          <w:p>
            <w:pPr>
              <w:spacing w:after="0"/>
              <w:rPr>
                <w:sz w:val="24"/>
                <w:szCs w:val="24"/>
                <w:color w:val="auto"/>
              </w:rPr>
            </w:pPr>
          </w:p>
        </w:tc>
        <w:tc>
          <w:tcPr>
            <w:tcW w:w="920" w:type="dxa"/>
            <w:vAlign w:val="bottom"/>
            <w:gridSpan w:val="3"/>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9"/>
              </w:rPr>
              <w:t>Abstain</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77"/>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gridSpan w:val="3"/>
          </w:tcPr>
          <w:p>
            <w:pPr>
              <w:jc w:val="right"/>
              <w:ind w:right="540"/>
              <w:spacing w:after="0"/>
              <w:rPr>
                <w:sz w:val="20"/>
                <w:szCs w:val="20"/>
                <w:color w:val="auto"/>
              </w:rPr>
            </w:pPr>
            <w:r>
              <w:rPr>
                <w:rFonts w:ascii="Times New Roman" w:cs="Times New Roman" w:eastAsia="Times New Roman" w:hAnsi="Times New Roman"/>
                <w:sz w:val="12"/>
                <w:szCs w:val="12"/>
                <w:color w:val="auto"/>
              </w:rPr>
              <w:t>65,663,365</w:t>
            </w: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7,529,785</w:t>
            </w: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34,943</w:t>
            </w:r>
          </w:p>
        </w:tc>
        <w:tc>
          <w:tcPr>
            <w:tcW w:w="4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-696595</wp:posOffset>
            </wp:positionV>
            <wp:extent cx="7132320" cy="1771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7165"/>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-170815</wp:posOffset>
            </wp:positionV>
            <wp:extent cx="7120890" cy="2514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20890" cy="251460"/>
                    </a:xfrm>
                    <a:prstGeom prst="rect">
                      <a:avLst/>
                    </a:prstGeom>
                    <a:noFill/>
                  </pic:spPr>
                </pic:pic>
              </a:graphicData>
            </a:graphic>
          </wp:anchor>
        </w:drawing>
      </w:r>
    </w:p>
    <w:p>
      <w:pPr>
        <w:spacing w:after="0" w:line="799" w:lineRule="exact"/>
        <w:rPr>
          <w:sz w:val="20"/>
          <w:szCs w:val="20"/>
          <w:color w:val="auto"/>
        </w:rPr>
      </w:pPr>
    </w:p>
    <w:p>
      <w:pPr>
        <w:sectPr>
          <w:pgSz w:w="11900" w:h="16838" w:orient="portrait"/>
          <w:cols w:equalWidth="0" w:num="2">
            <w:col w:w="4320" w:space="300"/>
            <w:col w:w="6680"/>
          </w:cols>
          <w:pgMar w:left="300" w:top="692" w:right="299" w:bottom="1440" w:gutter="0" w:footer="0" w:header="0"/>
        </w:sectPr>
      </w:pPr>
    </w:p>
    <w:p>
      <w:pPr>
        <w:ind w:right="20" w:firstLine="432"/>
        <w:spacing w:after="0" w:line="279" w:lineRule="auto"/>
        <w:rPr>
          <w:sz w:val="20"/>
          <w:szCs w:val="20"/>
          <w:color w:val="auto"/>
        </w:rPr>
      </w:pPr>
      <w:r>
        <w:rPr>
          <w:rFonts w:ascii="Times New Roman" w:cs="Times New Roman" w:eastAsia="Times New Roman" w:hAnsi="Times New Roman"/>
          <w:sz w:val="12"/>
          <w:szCs w:val="12"/>
          <w:color w:val="auto"/>
        </w:rPr>
        <w:t>On June 17, 2026, the Company made an investor presentation (the “Investor Presentation”) available on its website at https://investors.playboy.com/investors/events-and-presentations. The Company intends to use the Investor Presentation from time to time in investor communications and conferences. A copy of the Investor Presentation is attached hereto as Exhibit 99.1 and is incorporated herein by reference.</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Forward-Looking Statements</w:t>
      </w:r>
    </w:p>
    <w:p>
      <w:pPr>
        <w:spacing w:after="0" w:line="170" w:lineRule="exact"/>
        <w:rPr>
          <w:sz w:val="20"/>
          <w:szCs w:val="20"/>
          <w:color w:val="auto"/>
        </w:rPr>
      </w:pPr>
    </w:p>
    <w:p>
      <w:pPr>
        <w:ind w:right="20" w:firstLine="432"/>
        <w:spacing w:after="0" w:line="254" w:lineRule="auto"/>
        <w:rPr>
          <w:sz w:val="20"/>
          <w:szCs w:val="20"/>
          <w:color w:val="auto"/>
        </w:rPr>
      </w:pPr>
      <w:r>
        <w:rPr>
          <w:rFonts w:ascii="Times New Roman" w:cs="Times New Roman" w:eastAsia="Times New Roman" w:hAnsi="Times New Roman"/>
          <w:sz w:val="12"/>
          <w:szCs w:val="12"/>
          <w:color w:val="auto"/>
        </w:rPr>
        <w:t>This Current Report on Form 8-K, inclusive of any exhibits incorporated herein by reference, contains forward looking statements within the meaning of Section 27A of the Securities Act of 1933, as amended, and Section 21E of the Securities Exchange Act of 1934, as amended, which involve certain risks and uncertainties, including statements regarding anticipated financial performance and results of the Company, the pending completion of a previously disclosed investment in the Company, the planned use of proceeds from such investment, further deleveraging of the Company, and other statements identified by words such as “could,” “expects,” “intends,” “may,” “plans,” “potential,” “should,” “will,” “would,” or similar expressions and the negatives of those terms. Additionally, the Investor Presentation contains forward-looking statements regarding the business, plans and results of the Company and its subsidiaries. The Company cannot give any assurance that its business or plans will be successful and/or that its operational and/or financial results will be realized as expected. Forward-looking statements are not promises or guarantees of future performance, and are subject to a variety of risks and uncertainties, many of which are beyond the Company’s control, and which could cause actual results to differ materially from those contemplated in such forward-looking statements, including, but not limited to, the risks as may be detailed from time to time in the Company’s Annual Reports on Form 10-K and Quarterly Reports on Form 10-Q and other reports the Company files with the U.S. Securities and Exchange Commission. The Company’s actual results could differ materially from the results described in or implied by such forward-looking statements. Forward-looking statements speak only as of the date hereof, and, except as required by law, the Company undertakes no obligation to update or revise these forward-looking statements.</w:t>
      </w:r>
    </w:p>
    <w:p>
      <w:pPr>
        <w:spacing w:after="0" w:line="200" w:lineRule="exact"/>
        <w:rPr>
          <w:sz w:val="20"/>
          <w:szCs w:val="20"/>
          <w:color w:val="auto"/>
        </w:rPr>
      </w:pPr>
    </w:p>
    <w:p>
      <w:pPr>
        <w:spacing w:after="0" w:line="228"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52" w:lineRule="exact"/>
        <w:rPr>
          <w:sz w:val="20"/>
          <w:szCs w:val="20"/>
          <w:color w:val="auto"/>
        </w:rPr>
      </w:pPr>
    </w:p>
    <w:p>
      <w:pPr>
        <w:ind w:left="860" w:hanging="856"/>
        <w:spacing w:after="0"/>
        <w:tabs>
          <w:tab w:leader="none" w:pos="860" w:val="left"/>
        </w:tabs>
        <w:numPr>
          <w:ilvl w:val="0"/>
          <w:numId w:val="3"/>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Exhibits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Exhibit</w:t>
            </w:r>
          </w:p>
        </w:tc>
        <w:tc>
          <w:tcPr>
            <w:tcW w:w="20" w:type="dxa"/>
            <w:vAlign w:val="bottom"/>
          </w:tcPr>
          <w:p>
            <w:pPr>
              <w:spacing w:after="0"/>
              <w:rPr>
                <w:sz w:val="12"/>
                <w:szCs w:val="12"/>
                <w:color w:val="auto"/>
              </w:rPr>
            </w:pPr>
          </w:p>
        </w:tc>
        <w:tc>
          <w:tcPr>
            <w:tcW w:w="892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144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No.</w:t>
            </w:r>
          </w:p>
        </w:tc>
        <w:tc>
          <w:tcPr>
            <w:tcW w:w="2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920" w:type="dxa"/>
            <w:vAlign w:val="bottom"/>
            <w:tcBorders>
              <w:bottom w:val="single" w:sz="8" w:color="auto"/>
            </w:tcBorders>
            <w:gridSpan w:val="3"/>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10.1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360" w:type="dxa"/>
            <w:vAlign w:val="bottom"/>
            <w:gridSpan w:val="4"/>
          </w:tcPr>
          <w:p>
            <w:pPr>
              <w:spacing w:after="0"/>
              <w:rPr>
                <w:sz w:val="20"/>
                <w:szCs w:val="20"/>
                <w:color w:val="auto"/>
              </w:rPr>
            </w:pPr>
            <w:r>
              <w:rPr>
                <w:rFonts w:ascii="Times New Roman" w:cs="Times New Roman" w:eastAsia="Times New Roman" w:hAnsi="Times New Roman"/>
                <w:sz w:val="12"/>
                <w:szCs w:val="12"/>
                <w:color w:val="0000FF"/>
              </w:rPr>
              <w:t>Amendment to the Playboy, Inc. Amended &amp; Restated 2021 Equity Incentive Compensation Plan, effective as of June 16, 2026</w:t>
            </w:r>
          </w:p>
        </w:tc>
        <w:tc>
          <w:tcPr>
            <w:tcW w:w="0" w:type="dxa"/>
            <w:vAlign w:val="bottom"/>
          </w:tcPr>
          <w:p>
            <w:pPr>
              <w:spacing w:after="0"/>
              <w:rPr>
                <w:sz w:val="1"/>
                <w:szCs w:val="1"/>
                <w:color w:val="auto"/>
              </w:rPr>
            </w:pPr>
          </w:p>
        </w:tc>
      </w:tr>
      <w:tr>
        <w:trPr>
          <w:trHeight w:val="133"/>
        </w:trPr>
        <w:tc>
          <w:tcPr>
            <w:tcW w:w="7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5"/>
              </w:rPr>
              <w:t>99.1</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100" w:type="dxa"/>
            <w:vAlign w:val="bottom"/>
            <w:tcBorders>
              <w:top w:val="single" w:sz="8" w:color="0000FF"/>
            </w:tcBorders>
            <w:gridSpan w:val="2"/>
          </w:tcPr>
          <w:p>
            <w:pPr>
              <w:spacing w:after="0" w:line="133" w:lineRule="exact"/>
              <w:rPr>
                <w:sz w:val="20"/>
                <w:szCs w:val="20"/>
                <w:color w:val="auto"/>
              </w:rPr>
            </w:pPr>
            <w:r>
              <w:rPr>
                <w:rFonts w:ascii="Times New Roman" w:cs="Times New Roman" w:eastAsia="Times New Roman" w:hAnsi="Times New Roman"/>
                <w:sz w:val="12"/>
                <w:szCs w:val="12"/>
                <w:color w:val="0000FF"/>
              </w:rPr>
              <w:t>Investor Presentation, made available June 17, 2026</w:t>
            </w:r>
          </w:p>
        </w:tc>
        <w:tc>
          <w:tcPr>
            <w:tcW w:w="426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78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104</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36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c>
          <w:tcPr>
            <w:tcW w:w="0" w:type="dxa"/>
            <w:vAlign w:val="bottom"/>
          </w:tcPr>
          <w:p>
            <w:pPr>
              <w:spacing w:after="0"/>
              <w:rPr>
                <w:sz w:val="1"/>
                <w:szCs w:val="1"/>
                <w:color w:val="auto"/>
              </w:rPr>
            </w:pPr>
          </w:p>
        </w:tc>
      </w:tr>
      <w:tr>
        <w:trPr>
          <w:trHeight w:val="747"/>
        </w:trPr>
        <w:tc>
          <w:tcPr>
            <w:tcW w:w="7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92" w:right="299" w:bottom="1440" w:gutter="0" w:footer="0" w:header="0"/>
          <w:type w:val="continuous"/>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3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50" w:lineRule="exact"/>
        <w:rPr>
          <w:sz w:val="20"/>
          <w:szCs w:val="20"/>
          <w:color w:val="auto"/>
        </w:rPr>
      </w:pPr>
    </w:p>
    <w:p>
      <w:pPr>
        <w:spacing w:after="0"/>
        <w:tabs>
          <w:tab w:leader="none" w:pos="6940" w:val="left"/>
        </w:tabs>
        <w:rPr>
          <w:sz w:val="20"/>
          <w:szCs w:val="20"/>
          <w:color w:val="auto"/>
        </w:rPr>
      </w:pPr>
      <w:r>
        <w:rPr>
          <w:rFonts w:ascii="Times New Roman" w:cs="Times New Roman" w:eastAsia="Times New Roman" w:hAnsi="Times New Roman"/>
          <w:sz w:val="12"/>
          <w:szCs w:val="12"/>
          <w:color w:val="auto"/>
        </w:rPr>
        <w:t>Dated: June 17, 2026</w:t>
      </w:r>
      <w:r>
        <w:rPr>
          <w:sz w:val="20"/>
          <w:szCs w:val="20"/>
          <w:color w:val="auto"/>
        </w:rPr>
        <w:tab/>
      </w:r>
      <w:r>
        <w:rPr>
          <w:rFonts w:ascii="Times New Roman" w:cs="Times New Roman" w:eastAsia="Times New Roman" w:hAnsi="Times New Roman"/>
          <w:sz w:val="11"/>
          <w:szCs w:val="11"/>
          <w:color w:val="auto"/>
        </w:rPr>
        <w:t>PLAYBOY, INC.</w:t>
      </w:r>
    </w:p>
    <w:p>
      <w:pPr>
        <w:spacing w:after="0" w:line="301" w:lineRule="exact"/>
        <w:rPr>
          <w:sz w:val="20"/>
          <w:szCs w:val="20"/>
          <w:color w:val="auto"/>
        </w:rPr>
      </w:pPr>
    </w:p>
    <w:tbl>
      <w:tblPr>
        <w:tblLayout w:type="fixed"/>
        <w:tblInd w:w="6960" w:type="dxa"/>
        <w:tblCellMar>
          <w:top w:w="0" w:type="dxa"/>
          <w:left w:w="0" w:type="dxa"/>
          <w:bottom w:w="0" w:type="dxa"/>
          <w:right w:w="0" w:type="dxa"/>
        </w:tblCellMar>
      </w:tblPr>
      <w:tr>
        <w:trPr>
          <w:trHeight w:val="157"/>
        </w:trPr>
        <w:tc>
          <w:tcPr>
            <w:tcW w:w="70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i w:val="1"/>
                <w:iCs w:val="1"/>
                <w:color w:val="auto"/>
              </w:rPr>
              <w:t>/s/ Chris Riley</w:t>
            </w:r>
          </w:p>
        </w:tc>
      </w:tr>
      <w:tr>
        <w:trPr>
          <w:trHeight w:val="140"/>
        </w:trPr>
        <w:tc>
          <w:tcPr>
            <w:tcW w:w="70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Name:</w:t>
            </w:r>
          </w:p>
        </w:tc>
        <w:tc>
          <w:tcPr>
            <w:tcW w:w="36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Chris Riley</w:t>
            </w:r>
          </w:p>
        </w:tc>
      </w:tr>
      <w:tr>
        <w:trPr>
          <w:trHeight w:val="155"/>
        </w:trPr>
        <w:tc>
          <w:tcPr>
            <w:tcW w:w="70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36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General Counsel and Secretary</w:t>
            </w:r>
          </w:p>
        </w:tc>
      </w:tr>
    </w:tbl>
    <w:p>
      <w:pPr>
        <w:sectPr>
          <w:pgSz w:w="11900" w:h="16838" w:orient="portrait"/>
          <w:cols w:equalWidth="0" w:num="1">
            <w:col w:w="11300"/>
          </w:cols>
          <w:pgMar w:left="300" w:top="782" w:right="29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4"/>
          <w:szCs w:val="14"/>
          <w:color w:val="auto"/>
        </w:rPr>
        <w:t>AMENDMENT TO THE</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PLAYBOY, INC. AMENDED &amp; RESTATED 2021 EQUITY AND INCENTIVE COMPENSATION PLAN</w:t>
      </w:r>
    </w:p>
    <w:p>
      <w:pPr>
        <w:spacing w:after="0" w:line="154" w:lineRule="exact"/>
        <w:rPr>
          <w:sz w:val="20"/>
          <w:szCs w:val="20"/>
          <w:color w:val="auto"/>
        </w:rPr>
      </w:pPr>
    </w:p>
    <w:p>
      <w:pPr>
        <w:ind w:right="680"/>
        <w:spacing w:after="0" w:line="312" w:lineRule="auto"/>
        <w:rPr>
          <w:sz w:val="20"/>
          <w:szCs w:val="20"/>
          <w:color w:val="auto"/>
        </w:rPr>
      </w:pPr>
      <w:r>
        <w:rPr>
          <w:rFonts w:ascii="Times New Roman" w:cs="Times New Roman" w:eastAsia="Times New Roman" w:hAnsi="Times New Roman"/>
          <w:sz w:val="14"/>
          <w:szCs w:val="14"/>
          <w:color w:val="auto"/>
        </w:rPr>
        <w:t>Playboy, Inc., a Delaware corporation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hereby adopts this amendment (the “</w:t>
      </w:r>
      <w:r>
        <w:rPr>
          <w:rFonts w:ascii="Times New Roman" w:cs="Times New Roman" w:eastAsia="Times New Roman" w:hAnsi="Times New Roman"/>
          <w:sz w:val="14"/>
          <w:szCs w:val="14"/>
          <w:b w:val="1"/>
          <w:bCs w:val="1"/>
          <w:color w:val="auto"/>
        </w:rPr>
        <w:t>Amendment</w:t>
      </w:r>
      <w:r>
        <w:rPr>
          <w:rFonts w:ascii="Times New Roman" w:cs="Times New Roman" w:eastAsia="Times New Roman" w:hAnsi="Times New Roman"/>
          <w:sz w:val="14"/>
          <w:szCs w:val="14"/>
          <w:color w:val="auto"/>
        </w:rPr>
        <w:t>”) to the PLAYBOY, INC. AMENDED &amp; RESTATED 2021 EQUITY AND INCENTIVE COMPENSATION PLAN (the “</w:t>
      </w:r>
      <w:r>
        <w:rPr>
          <w:rFonts w:ascii="Times New Roman" w:cs="Times New Roman" w:eastAsia="Times New Roman" w:hAnsi="Times New Roman"/>
          <w:sz w:val="14"/>
          <w:szCs w:val="14"/>
          <w:b w:val="1"/>
          <w:bCs w:val="1"/>
          <w:color w:val="auto"/>
        </w:rPr>
        <w:t>Plan</w:t>
      </w:r>
      <w:r>
        <w:rPr>
          <w:rFonts w:ascii="Times New Roman" w:cs="Times New Roman" w:eastAsia="Times New Roman" w:hAnsi="Times New Roman"/>
          <w:sz w:val="14"/>
          <w:szCs w:val="14"/>
          <w:color w:val="auto"/>
        </w:rPr>
        <w:t>”), effective as of June 16, 2026.</w:t>
      </w:r>
    </w:p>
    <w:p>
      <w:pPr>
        <w:spacing w:after="0" w:line="94"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4"/>
          <w:szCs w:val="14"/>
          <w:color w:val="auto"/>
        </w:rPr>
        <w:t>WHEREAS, the Compensation Committee (the “</w:t>
      </w:r>
      <w:r>
        <w:rPr>
          <w:rFonts w:ascii="Times New Roman" w:cs="Times New Roman" w:eastAsia="Times New Roman" w:hAnsi="Times New Roman"/>
          <w:sz w:val="14"/>
          <w:szCs w:val="14"/>
          <w:b w:val="1"/>
          <w:bCs w:val="1"/>
          <w:color w:val="auto"/>
        </w:rPr>
        <w:t>Committee</w:t>
      </w:r>
      <w:r>
        <w:rPr>
          <w:rFonts w:ascii="Times New Roman" w:cs="Times New Roman" w:eastAsia="Times New Roman" w:hAnsi="Times New Roman"/>
          <w:sz w:val="14"/>
          <w:szCs w:val="14"/>
          <w:color w:val="auto"/>
        </w:rPr>
        <w:t>”) of the Board of Directors (the “</w:t>
      </w:r>
      <w:r>
        <w:rPr>
          <w:rFonts w:ascii="Times New Roman" w:cs="Times New Roman" w:eastAsia="Times New Roman" w:hAnsi="Times New Roman"/>
          <w:sz w:val="14"/>
          <w:szCs w:val="14"/>
          <w:b w:val="1"/>
          <w:bCs w:val="1"/>
          <w:color w:val="auto"/>
        </w:rPr>
        <w:t>Board</w:t>
      </w:r>
      <w:r>
        <w:rPr>
          <w:rFonts w:ascii="Times New Roman" w:cs="Times New Roman" w:eastAsia="Times New Roman" w:hAnsi="Times New Roman"/>
          <w:sz w:val="14"/>
          <w:szCs w:val="14"/>
          <w:color w:val="auto"/>
        </w:rPr>
        <w:t>”) of the Company has determined that it is advisable and in the best interests of the Company for the Company to amend the Plan on the terms set forth in this Amendment.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NOW THEREFORE, BE IT RESOLVED, that: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3(a)(i) of the Plan is hereby deleted in its entirety and is replaced with the following:</w:t>
      </w:r>
    </w:p>
    <w:p>
      <w:pPr>
        <w:spacing w:after="0" w:line="181"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4"/>
          <w:szCs w:val="14"/>
          <w:color w:val="auto"/>
        </w:rPr>
        <w:t>“Subject to adjustment as provided in Section 11 of this Plan and the share counting rules set forth in Section 3(b) of this Plan, the number of shares of Common Stock available under this Plan for awards of (A) Option Rights or Appreciation Rights, (B) Restricted Stock, (C) Restricted Stock Units, (D) Performance Shares or Performance Units, (E) awards contemplated by Section 9 of this Plan, or (F) dividend equivalents paid with respect to awards made under this Plan will not exceed, in the aggregate, 14,262,364 shares of Common Stock (the “</w:t>
      </w:r>
      <w:r>
        <w:rPr>
          <w:rFonts w:ascii="Times New Roman" w:cs="Times New Roman" w:eastAsia="Times New Roman" w:hAnsi="Times New Roman"/>
          <w:sz w:val="14"/>
          <w:szCs w:val="14"/>
          <w:u w:val="single" w:color="auto"/>
          <w:color w:val="auto"/>
        </w:rPr>
        <w:t>Overall Share Limit</w:t>
      </w:r>
      <w:r>
        <w:rPr>
          <w:rFonts w:ascii="Times New Roman" w:cs="Times New Roman" w:eastAsia="Times New Roman" w:hAnsi="Times New Roman"/>
          <w:sz w:val="14"/>
          <w:szCs w:val="14"/>
          <w:color w:val="auto"/>
        </w:rPr>
        <w:t>”). The Overall Share Limit shall be automatically increased on the first day of each fiscal year, beginning in 2022 and ending in 2031, by an amount equal to the lesser of (x) 4% of the shares of Common Stock outstanding on the last day of the immediately preceding fiscal year and (y) such smaller number of shares as determined by the Board. Such shares may be shares of original issuance or treasury shares or a combination of the foregoing.”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Amendment shall be governed by and construed in accordance with the internal laws of the State of Delaware, without giving effect to the conflict of laws provisions thereof.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Except as expressly modified herein, all terms, provisions and conditions of the Plan shall remain in full force and effect.</w:t>
      </w:r>
    </w:p>
    <w:p>
      <w:pPr>
        <w:sectPr>
          <w:pgSz w:w="11900" w:h="16838" w:orient="portrait"/>
          <w:cols w:equalWidth="0" w:num="1">
            <w:col w:w="11280"/>
          </w:cols>
          <w:pgMar w:left="300" w:top="994" w:right="319" w:bottom="1440"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270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27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2026-06-17T07:38:29Z</dcterms:created>
  <dcterms:modified xsi:type="dcterms:W3CDTF">2026-06-17T07:38:29Z</dcterms:modified>
</cp:coreProperties>
</file>