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57209.xml.htm"/>
      <w:bookmarkStart w:id="1" w:name="kswkform4_17834572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Riley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PLAYBOY,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10960 WILSHIRE BLVD, SUITE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Playboy, Inc.</w:t>
              </w:r>
            </w:hyperlink>
            <w:r>
              <w:rPr/>
              <w:t xml:space="preserve"> [ </w:t>
            </w:r>
            <w:r>
              <w:rPr>
                <w:rFonts w:ascii="Times;serif" w:hAnsi="Times;serif"/>
                <w:color w:val="0000FF"/>
                <w:sz w:val="24"/>
                <w:shd w:fill="FFFFFF" w:val="clear"/>
              </w:rPr>
              <w:t>PLBY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57"/>
        <w:gridCol w:w="435"/>
        <w:gridCol w:w="879"/>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71,471</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1.2627</w:t>
            </w:r>
            <w:r>
              <w:rPr>
                <w:rFonts w:ascii="Times;serif" w:hAnsi="Times;serif"/>
                <w:color w:val="008000"/>
                <w:position w:val="7"/>
                <w:sz w:val="16"/>
                <w:sz w:val="20"/>
                <w:shd w:fill="FFFFFF" w:val="clear"/>
              </w:rPr>
              <w:t>(2)</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1,617,208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74,949</w:t>
            </w:r>
            <w:r>
              <w:rPr>
                <w:rFonts w:ascii="Times;serif" w:hAnsi="Times;serif"/>
                <w:color w:val="008000"/>
                <w:position w:val="7"/>
                <w:sz w:val="16"/>
                <w:sz w:val="20"/>
                <w:shd w:fill="FFFFFF" w:val="clear"/>
              </w:rPr>
              <w:t>(1)</w:t>
            </w:r>
            <w:r>
              <w:rPr/>
              <w:t xml:space="preserve"> </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1.2337</w:t>
            </w:r>
            <w:r>
              <w:rPr>
                <w:rFonts w:ascii="Times;serif" w:hAnsi="Times;serif"/>
                <w:color w:val="008000"/>
                <w:position w:val="7"/>
                <w:sz w:val="16"/>
                <w:sz w:val="20"/>
                <w:shd w:fill="FFFFFF" w:val="clear"/>
              </w:rPr>
              <w:t>(3)</w:t>
            </w:r>
            <w:r>
              <w:rPr/>
              <w:t xml:space="preserve"> </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1,542,259</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solely to cover the reporting person's tax withholding obligations in connection with the settlement of restricted stock units previously granted to the reporting person. Pursuant to the Issuer's current practices, the disclosed sale of shares was made in connection with the settlement of restricted stock units, solely to cover taxes related to such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$1.235 to $1.285,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ranging from $1.21 to $1.265,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Riley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49659" TargetMode="External"/><Relationship Id="rId5" Type="http://schemas.openxmlformats.org/officeDocument/2006/relationships/hyperlink" Target="http://www.sec.gov/cgi-bin/browse-edgar?action=getcompany&amp;CIK=0001803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769</Words>
  <Characters>4178</Characters>
  <CharactersWithSpaces>4878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